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36" w:type="dxa"/>
        <w:tblInd w:w="5103" w:type="dxa"/>
        <w:tblLook w:val="04A0" w:firstRow="1" w:lastRow="0" w:firstColumn="1" w:lastColumn="0" w:noHBand="0" w:noVBand="1"/>
      </w:tblPr>
      <w:tblGrid>
        <w:gridCol w:w="4536"/>
      </w:tblGrid>
      <w:tr w:rsidR="00257494" w:rsidRPr="00655E64" w:rsidTr="002802F1">
        <w:tc>
          <w:tcPr>
            <w:tcW w:w="4536" w:type="dxa"/>
          </w:tcPr>
          <w:p w:rsidR="00257494" w:rsidRPr="002802F1" w:rsidRDefault="00257494" w:rsidP="002802F1">
            <w:pPr>
              <w:contextualSpacing/>
              <w:jc w:val="center"/>
            </w:pPr>
            <w:r w:rsidRPr="002802F1">
              <w:t>Додаток</w:t>
            </w:r>
          </w:p>
          <w:p w:rsidR="002802F1" w:rsidRPr="002802F1" w:rsidRDefault="002802F1" w:rsidP="002802F1">
            <w:pPr>
              <w:contextualSpacing/>
              <w:jc w:val="left"/>
            </w:pPr>
            <w:r w:rsidRPr="002802F1">
              <w:t>до рішення виконавчого комітету</w:t>
            </w:r>
          </w:p>
          <w:p w:rsidR="00257494" w:rsidRPr="00655E64" w:rsidRDefault="00257494" w:rsidP="00AF3194">
            <w:pPr>
              <w:widowControl w:val="0"/>
              <w:autoSpaceDE w:val="0"/>
              <w:autoSpaceDN w:val="0"/>
              <w:adjustRightInd w:val="0"/>
              <w:jc w:val="left"/>
            </w:pPr>
            <w:r w:rsidRPr="002802F1">
              <w:t xml:space="preserve">від </w:t>
            </w:r>
            <w:r w:rsidR="007E6B80" w:rsidRPr="002802F1">
              <w:t xml:space="preserve"> </w:t>
            </w:r>
            <w:r w:rsidR="00AF3194">
              <w:t xml:space="preserve">23.05.2025 </w:t>
            </w:r>
            <w:r w:rsidRPr="002802F1">
              <w:t>№</w:t>
            </w:r>
            <w:r w:rsidR="00D06476">
              <w:t> </w:t>
            </w:r>
            <w:r w:rsidR="002168EE">
              <w:t xml:space="preserve"> </w:t>
            </w:r>
            <w:r w:rsidR="00AF3194">
              <w:t>1731</w:t>
            </w:r>
            <w:bookmarkStart w:id="0" w:name="_GoBack"/>
            <w:bookmarkEnd w:id="0"/>
            <w:r w:rsidR="002168EE">
              <w:t xml:space="preserve">   </w:t>
            </w:r>
          </w:p>
        </w:tc>
      </w:tr>
    </w:tbl>
    <w:p w:rsidR="00051E8D" w:rsidRDefault="00051E8D" w:rsidP="00051E8D"/>
    <w:p w:rsidR="002802F1" w:rsidRDefault="002802F1" w:rsidP="00051E8D"/>
    <w:p w:rsidR="00051E8D" w:rsidRPr="007E6B80" w:rsidRDefault="00051E8D" w:rsidP="00051E8D">
      <w:pPr>
        <w:jc w:val="center"/>
        <w:rPr>
          <w:b/>
        </w:rPr>
      </w:pPr>
      <w:r w:rsidRPr="007E6B80">
        <w:rPr>
          <w:b/>
        </w:rPr>
        <w:t xml:space="preserve">План заходів щодо складання прогнозу бюджету </w:t>
      </w:r>
    </w:p>
    <w:p w:rsidR="00051E8D" w:rsidRPr="007E6B80" w:rsidRDefault="00051E8D" w:rsidP="00051E8D">
      <w:pPr>
        <w:jc w:val="center"/>
        <w:rPr>
          <w:b/>
        </w:rPr>
      </w:pPr>
      <w:r w:rsidRPr="007E6B80">
        <w:rPr>
          <w:b/>
        </w:rPr>
        <w:t>Сумської міської територіальної громади</w:t>
      </w:r>
    </w:p>
    <w:p w:rsidR="00051E8D" w:rsidRPr="00C820F2" w:rsidRDefault="00051E8D" w:rsidP="00051E8D">
      <w:pPr>
        <w:pStyle w:val="41"/>
        <w:ind w:right="-81" w:firstLine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7E6B80">
        <w:rPr>
          <w:rFonts w:ascii="Times New Roman" w:hAnsi="Times New Roman" w:cs="Times New Roman"/>
          <w:b/>
          <w:sz w:val="28"/>
          <w:szCs w:val="28"/>
        </w:rPr>
        <w:t>на 2026</w:t>
      </w:r>
      <w:r w:rsidR="008309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B80">
        <w:rPr>
          <w:rFonts w:ascii="Times New Roman" w:hAnsi="Times New Roman" w:cs="Times New Roman"/>
          <w:b/>
          <w:sz w:val="28"/>
          <w:szCs w:val="28"/>
        </w:rPr>
        <w:t>-</w:t>
      </w:r>
      <w:r w:rsidR="008309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B80">
        <w:rPr>
          <w:rFonts w:ascii="Times New Roman" w:hAnsi="Times New Roman" w:cs="Times New Roman"/>
          <w:b/>
          <w:sz w:val="28"/>
          <w:szCs w:val="28"/>
        </w:rPr>
        <w:t>2028 роки</w:t>
      </w:r>
      <w:r w:rsidRPr="00C820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1E8D" w:rsidRPr="00277A19" w:rsidRDefault="00051E8D" w:rsidP="00051E8D">
      <w:pPr>
        <w:tabs>
          <w:tab w:val="center" w:pos="4819"/>
          <w:tab w:val="right" w:pos="9639"/>
        </w:tabs>
      </w:pPr>
    </w:p>
    <w:tbl>
      <w:tblPr>
        <w:tblW w:w="102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9"/>
        <w:gridCol w:w="5387"/>
        <w:gridCol w:w="1488"/>
        <w:gridCol w:w="2611"/>
      </w:tblGrid>
      <w:tr w:rsidR="00051E8D" w:rsidRPr="007E6B80" w:rsidTr="00B46341">
        <w:trPr>
          <w:tblHeader/>
        </w:trPr>
        <w:tc>
          <w:tcPr>
            <w:tcW w:w="739" w:type="dxa"/>
          </w:tcPr>
          <w:p w:rsidR="00051E8D" w:rsidRPr="00C03ABD" w:rsidRDefault="00051E8D" w:rsidP="0087151B">
            <w:pPr>
              <w:jc w:val="center"/>
              <w:rPr>
                <w:b/>
                <w:i/>
                <w:sz w:val="24"/>
                <w:szCs w:val="24"/>
              </w:rPr>
            </w:pPr>
            <w:r w:rsidRPr="00C03ABD">
              <w:rPr>
                <w:b/>
                <w:i/>
                <w:sz w:val="24"/>
                <w:szCs w:val="24"/>
              </w:rPr>
              <w:t>№ з/п</w:t>
            </w:r>
          </w:p>
        </w:tc>
        <w:tc>
          <w:tcPr>
            <w:tcW w:w="5387" w:type="dxa"/>
          </w:tcPr>
          <w:p w:rsidR="00051E8D" w:rsidRPr="00C03ABD" w:rsidRDefault="00051E8D" w:rsidP="0087151B">
            <w:pPr>
              <w:jc w:val="center"/>
              <w:rPr>
                <w:b/>
                <w:i/>
                <w:sz w:val="24"/>
                <w:szCs w:val="24"/>
              </w:rPr>
            </w:pPr>
            <w:r w:rsidRPr="00C03ABD">
              <w:rPr>
                <w:b/>
                <w:i/>
                <w:sz w:val="24"/>
                <w:szCs w:val="24"/>
              </w:rPr>
              <w:t>Назви заходів</w:t>
            </w:r>
          </w:p>
        </w:tc>
        <w:tc>
          <w:tcPr>
            <w:tcW w:w="1488" w:type="dxa"/>
          </w:tcPr>
          <w:p w:rsidR="00051E8D" w:rsidRPr="00C03ABD" w:rsidRDefault="00C03ABD" w:rsidP="00C03ABD">
            <w:pPr>
              <w:jc w:val="center"/>
              <w:rPr>
                <w:b/>
                <w:i/>
                <w:sz w:val="24"/>
                <w:szCs w:val="24"/>
              </w:rPr>
            </w:pPr>
            <w:r w:rsidRPr="00C03ABD">
              <w:rPr>
                <w:b/>
                <w:i/>
                <w:sz w:val="24"/>
                <w:szCs w:val="24"/>
              </w:rPr>
              <w:t>Орієнтовний т</w:t>
            </w:r>
            <w:r w:rsidR="00051E8D" w:rsidRPr="00C03ABD">
              <w:rPr>
                <w:b/>
                <w:i/>
                <w:sz w:val="24"/>
                <w:szCs w:val="24"/>
              </w:rPr>
              <w:t>ермін виконання</w:t>
            </w:r>
          </w:p>
        </w:tc>
        <w:tc>
          <w:tcPr>
            <w:tcW w:w="2611" w:type="dxa"/>
          </w:tcPr>
          <w:p w:rsidR="00051E8D" w:rsidRPr="00C03ABD" w:rsidRDefault="00051E8D" w:rsidP="0087151B">
            <w:pPr>
              <w:jc w:val="center"/>
              <w:rPr>
                <w:b/>
                <w:i/>
                <w:sz w:val="24"/>
                <w:szCs w:val="24"/>
              </w:rPr>
            </w:pPr>
            <w:r w:rsidRPr="00C03ABD">
              <w:rPr>
                <w:b/>
                <w:i/>
                <w:sz w:val="24"/>
                <w:szCs w:val="24"/>
              </w:rPr>
              <w:t>Відповідальні за виконання</w:t>
            </w:r>
          </w:p>
        </w:tc>
      </w:tr>
      <w:tr w:rsidR="00051E8D" w:rsidRPr="007E6B80" w:rsidTr="00B46341">
        <w:tc>
          <w:tcPr>
            <w:tcW w:w="739" w:type="dxa"/>
          </w:tcPr>
          <w:p w:rsidR="00051E8D" w:rsidRPr="007E6B80" w:rsidRDefault="002802F1" w:rsidP="002802F1">
            <w:pPr>
              <w:ind w:left="142"/>
              <w:jc w:val="left"/>
            </w:pPr>
            <w:r>
              <w:t>1.</w:t>
            </w:r>
          </w:p>
        </w:tc>
        <w:tc>
          <w:tcPr>
            <w:tcW w:w="5387" w:type="dxa"/>
          </w:tcPr>
          <w:p w:rsidR="00051E8D" w:rsidRPr="007E6B80" w:rsidRDefault="00051E8D" w:rsidP="0087151B">
            <w:r w:rsidRPr="007E6B80">
              <w:t>Здійснення аналізу виконання бюджету Сумської міської територіальної громади у попередніх та поточному бюджетних періодах, виявлення тенденцій у виконанні дохідної та видаткової частини бюджету</w:t>
            </w:r>
          </w:p>
        </w:tc>
        <w:tc>
          <w:tcPr>
            <w:tcW w:w="1488" w:type="dxa"/>
          </w:tcPr>
          <w:p w:rsidR="00051E8D" w:rsidRPr="007E6B80" w:rsidRDefault="00051E8D" w:rsidP="0087151B">
            <w:pPr>
              <w:jc w:val="center"/>
            </w:pPr>
            <w:r w:rsidRPr="007E6B80">
              <w:t>Травень-червень</w:t>
            </w:r>
            <w:r w:rsidR="00EF5560" w:rsidRPr="007E6B80">
              <w:t xml:space="preserve"> 2025 року</w:t>
            </w:r>
          </w:p>
        </w:tc>
        <w:tc>
          <w:tcPr>
            <w:tcW w:w="2611" w:type="dxa"/>
          </w:tcPr>
          <w:p w:rsidR="00051E8D" w:rsidRPr="007E6B80" w:rsidRDefault="00051E8D" w:rsidP="0087151B">
            <w:r w:rsidRPr="007E6B80">
              <w:t>Департамент фінансів, економіки та інвестицій,</w:t>
            </w:r>
          </w:p>
          <w:p w:rsidR="00051E8D" w:rsidRPr="007E6B80" w:rsidRDefault="00051E8D" w:rsidP="0087151B">
            <w:r w:rsidRPr="007E6B80">
              <w:t>виконавчі органи Сумської міської ради відповідно до закріплення здійснення повноважень, Головне управління ДПС у Сумській області</w:t>
            </w:r>
          </w:p>
        </w:tc>
      </w:tr>
      <w:tr w:rsidR="00051E8D" w:rsidRPr="007E6B80" w:rsidTr="00B46341">
        <w:tc>
          <w:tcPr>
            <w:tcW w:w="739" w:type="dxa"/>
          </w:tcPr>
          <w:p w:rsidR="00051E8D" w:rsidRPr="007E6B80" w:rsidRDefault="002802F1" w:rsidP="002802F1">
            <w:pPr>
              <w:tabs>
                <w:tab w:val="left" w:pos="392"/>
              </w:tabs>
              <w:ind w:left="142"/>
              <w:jc w:val="left"/>
            </w:pPr>
            <w:r>
              <w:t>2.</w:t>
            </w:r>
          </w:p>
        </w:tc>
        <w:tc>
          <w:tcPr>
            <w:tcW w:w="5387" w:type="dxa"/>
          </w:tcPr>
          <w:p w:rsidR="00051E8D" w:rsidRPr="007E6B80" w:rsidRDefault="00051E8D" w:rsidP="000D02C9">
            <w:r w:rsidRPr="007E6B80">
              <w:t>Доведення до головних розпорядників бюджетних коштів</w:t>
            </w:r>
            <w:r w:rsidR="0091302A">
              <w:t xml:space="preserve"> особливостей складання розрахунків до </w:t>
            </w:r>
            <w:r w:rsidR="000878EA">
              <w:t>прогноз</w:t>
            </w:r>
            <w:r w:rsidR="000D02C9">
              <w:t>ів</w:t>
            </w:r>
            <w:r w:rsidR="000878EA">
              <w:t xml:space="preserve"> </w:t>
            </w:r>
            <w:r w:rsidR="00484914">
              <w:t>місцевих бюджетів,</w:t>
            </w:r>
            <w:r w:rsidRPr="007E6B80">
              <w:t xml:space="preserve"> організаційно-методологічних засад складання </w:t>
            </w:r>
            <w:r w:rsidR="00825E56">
              <w:t>бюджетних пропозицій</w:t>
            </w:r>
            <w:r w:rsidR="00825E56" w:rsidRPr="007E6B80">
              <w:t xml:space="preserve"> </w:t>
            </w:r>
            <w:r w:rsidR="00825E56">
              <w:t xml:space="preserve">та </w:t>
            </w:r>
            <w:r w:rsidRPr="007E6B80">
              <w:t xml:space="preserve">прогнозу </w:t>
            </w:r>
            <w:r w:rsidR="00804CCA">
              <w:t xml:space="preserve">місцевого </w:t>
            </w:r>
            <w:r w:rsidRPr="007E6B80">
              <w:t>бюджету</w:t>
            </w:r>
            <w:r w:rsidR="00825E56">
              <w:t>,</w:t>
            </w:r>
            <w:r w:rsidRPr="007E6B80">
              <w:t xml:space="preserve"> </w:t>
            </w:r>
            <w:r w:rsidR="00825E56" w:rsidRPr="007E6B80">
              <w:t>визначених Міністерством фінансів України</w:t>
            </w:r>
            <w:r w:rsidR="00825E56">
              <w:t xml:space="preserve"> </w:t>
            </w:r>
          </w:p>
        </w:tc>
        <w:tc>
          <w:tcPr>
            <w:tcW w:w="1488" w:type="dxa"/>
          </w:tcPr>
          <w:p w:rsidR="00051E8D" w:rsidRPr="007E6B80" w:rsidRDefault="00051E8D" w:rsidP="00095F36">
            <w:pPr>
              <w:jc w:val="center"/>
            </w:pPr>
            <w:r w:rsidRPr="007E6B80">
              <w:t>В триден</w:t>
            </w:r>
            <w:r w:rsidR="009A6806">
              <w:t>-</w:t>
            </w:r>
            <w:r w:rsidRPr="007E6B80">
              <w:t xml:space="preserve">ний </w:t>
            </w:r>
            <w:r w:rsidR="00095F36">
              <w:t>строк</w:t>
            </w:r>
            <w:r w:rsidRPr="007E6B80">
              <w:t xml:space="preserve"> після їх отрима</w:t>
            </w:r>
            <w:r w:rsidR="009A6806">
              <w:t>-</w:t>
            </w:r>
            <w:r w:rsidRPr="007E6B80">
              <w:t>ння</w:t>
            </w:r>
          </w:p>
        </w:tc>
        <w:tc>
          <w:tcPr>
            <w:tcW w:w="2611" w:type="dxa"/>
          </w:tcPr>
          <w:p w:rsidR="00051E8D" w:rsidRPr="007E6B80" w:rsidRDefault="00051E8D" w:rsidP="0087151B">
            <w:r w:rsidRPr="007E6B80">
              <w:t>Департамент фінансів, економіки та інвестицій</w:t>
            </w:r>
            <w:r w:rsidR="00CB4CAE" w:rsidRPr="007E6B80">
              <w:t xml:space="preserve"> Сумської міської ради</w:t>
            </w:r>
          </w:p>
        </w:tc>
      </w:tr>
      <w:tr w:rsidR="00051E8D" w:rsidRPr="007E6B80" w:rsidTr="00B46341">
        <w:trPr>
          <w:trHeight w:val="1470"/>
        </w:trPr>
        <w:tc>
          <w:tcPr>
            <w:tcW w:w="739" w:type="dxa"/>
          </w:tcPr>
          <w:p w:rsidR="00051E8D" w:rsidRPr="007E6B80" w:rsidRDefault="002802F1" w:rsidP="002802F1">
            <w:pPr>
              <w:ind w:left="142"/>
              <w:jc w:val="left"/>
            </w:pPr>
            <w:r>
              <w:t>3.</w:t>
            </w:r>
          </w:p>
        </w:tc>
        <w:tc>
          <w:tcPr>
            <w:tcW w:w="5387" w:type="dxa"/>
          </w:tcPr>
          <w:p w:rsidR="00051E8D" w:rsidRPr="007E6B80" w:rsidRDefault="00051E8D" w:rsidP="0087151B">
            <w:r w:rsidRPr="007E6B80">
              <w:t>Підготовка основних прогнозних показників економічного і соціального розвитку Сумської міської територіальної громади на середньостроковий період</w:t>
            </w:r>
          </w:p>
        </w:tc>
        <w:tc>
          <w:tcPr>
            <w:tcW w:w="1488" w:type="dxa"/>
          </w:tcPr>
          <w:p w:rsidR="00051E8D" w:rsidRPr="007E6B80" w:rsidRDefault="00051E8D" w:rsidP="0087151B">
            <w:pPr>
              <w:jc w:val="center"/>
            </w:pPr>
            <w:r w:rsidRPr="007E6B80">
              <w:t>Червень-липень</w:t>
            </w:r>
            <w:r w:rsidR="00EF5560" w:rsidRPr="007E6B80">
              <w:t xml:space="preserve"> 2025 року</w:t>
            </w:r>
          </w:p>
        </w:tc>
        <w:tc>
          <w:tcPr>
            <w:tcW w:w="2611" w:type="dxa"/>
          </w:tcPr>
          <w:p w:rsidR="00051E8D" w:rsidRPr="007E6B80" w:rsidRDefault="00051E8D" w:rsidP="0087151B">
            <w:r w:rsidRPr="007E6B80">
              <w:t>Департамент фінансів, економіки та інвестицій</w:t>
            </w:r>
            <w:r w:rsidR="00CB4CAE" w:rsidRPr="007E6B80">
              <w:t xml:space="preserve"> Сумської міської ради</w:t>
            </w:r>
          </w:p>
        </w:tc>
      </w:tr>
      <w:tr w:rsidR="00051E8D" w:rsidRPr="007E6B80" w:rsidTr="00B46341">
        <w:tc>
          <w:tcPr>
            <w:tcW w:w="739" w:type="dxa"/>
          </w:tcPr>
          <w:p w:rsidR="00051E8D" w:rsidRPr="007E6B80" w:rsidRDefault="002802F1" w:rsidP="002802F1">
            <w:pPr>
              <w:ind w:left="142"/>
              <w:jc w:val="left"/>
            </w:pPr>
            <w:r>
              <w:t>4.</w:t>
            </w:r>
          </w:p>
        </w:tc>
        <w:tc>
          <w:tcPr>
            <w:tcW w:w="5387" w:type="dxa"/>
          </w:tcPr>
          <w:p w:rsidR="00051E8D" w:rsidRPr="007E6B80" w:rsidRDefault="00051E8D" w:rsidP="00E933A6">
            <w:r w:rsidRPr="007E6B80">
              <w:t xml:space="preserve">Здійснення прогнозування </w:t>
            </w:r>
            <w:r w:rsidR="00825E56">
              <w:t xml:space="preserve">обсягу </w:t>
            </w:r>
            <w:r w:rsidRPr="007E6B80">
              <w:t>дохідної частини бюджету Сумської міської територіальної громади</w:t>
            </w:r>
            <w:r w:rsidR="00A433B7">
              <w:t xml:space="preserve"> на </w:t>
            </w:r>
            <w:r w:rsidR="00A433B7">
              <w:br/>
              <w:t>2026 – 2028 роки</w:t>
            </w:r>
            <w:r w:rsidR="00825E56">
              <w:t xml:space="preserve"> </w:t>
            </w:r>
            <w:r w:rsidRPr="007E6B80">
              <w:t>із застосуванням нормативно-правових актів (чинного бюджетного та податкового законодавс</w:t>
            </w:r>
            <w:r w:rsidR="003C570A">
              <w:t>тва)</w:t>
            </w:r>
            <w:r w:rsidR="00DA46DA">
              <w:t>,</w:t>
            </w:r>
            <w:r w:rsidR="003C570A">
              <w:t xml:space="preserve"> пропозицій (змін) до них</w:t>
            </w:r>
            <w:r w:rsidRPr="007E6B80">
              <w:t xml:space="preserve"> та з урахуванням</w:t>
            </w:r>
            <w:r w:rsidR="00DA46DA">
              <w:t xml:space="preserve"> прогнозних</w:t>
            </w:r>
            <w:r w:rsidRPr="007E6B80">
              <w:t xml:space="preserve"> макропоказників</w:t>
            </w:r>
            <w:r w:rsidR="000E6B58">
              <w:t xml:space="preserve"> економічного і </w:t>
            </w:r>
            <w:r w:rsidR="000E6B58">
              <w:lastRenderedPageBreak/>
              <w:t>соціального розвитку</w:t>
            </w:r>
            <w:r w:rsidRPr="007E6B80">
              <w:t xml:space="preserve"> України, </w:t>
            </w:r>
            <w:r w:rsidR="00E61BA9">
              <w:t xml:space="preserve">аналізу </w:t>
            </w:r>
            <w:r w:rsidRPr="007E6B80">
              <w:t>фактичного</w:t>
            </w:r>
            <w:r w:rsidR="00EF5560" w:rsidRPr="007E6B80">
              <w:t>/</w:t>
            </w:r>
            <w:r w:rsidRPr="007E6B80">
              <w:t>очікуваного виконання дохідної частини бюджету, факторів впливу, пов’язаних зі збройною агресією російсь</w:t>
            </w:r>
            <w:r w:rsidR="00825E56">
              <w:t>кої федерації проти України, який надалі може бути скорегований</w:t>
            </w:r>
            <w:r w:rsidRPr="007E6B80">
              <w:t xml:space="preserve"> на основі уточнення статистичних даних, поточної військової, соціально-економічної ситуації</w:t>
            </w:r>
            <w:r w:rsidR="00A433B7">
              <w:t xml:space="preserve"> в державі </w:t>
            </w:r>
            <w:r w:rsidR="00E933A6">
              <w:t>і</w:t>
            </w:r>
            <w:r w:rsidRPr="007E6B80">
              <w:t xml:space="preserve"> на території громади та відповідних рішень Уряду</w:t>
            </w:r>
          </w:p>
        </w:tc>
        <w:tc>
          <w:tcPr>
            <w:tcW w:w="1488" w:type="dxa"/>
          </w:tcPr>
          <w:p w:rsidR="00051E8D" w:rsidRPr="007E6B80" w:rsidRDefault="001A6D3A" w:rsidP="00EF5560">
            <w:pPr>
              <w:jc w:val="center"/>
            </w:pPr>
            <w:r w:rsidRPr="007E6B80">
              <w:lastRenderedPageBreak/>
              <w:t>Червень</w:t>
            </w:r>
            <w:r w:rsidR="00EF5560" w:rsidRPr="007E6B80">
              <w:t xml:space="preserve"> 2025 року</w:t>
            </w:r>
          </w:p>
        </w:tc>
        <w:tc>
          <w:tcPr>
            <w:tcW w:w="2611" w:type="dxa"/>
          </w:tcPr>
          <w:p w:rsidR="00051E8D" w:rsidRPr="007E6B80" w:rsidRDefault="00051E8D" w:rsidP="0087151B">
            <w:r w:rsidRPr="007E6B80">
              <w:t>Департамент фінансів, економіки та інвестицій,</w:t>
            </w:r>
          </w:p>
          <w:p w:rsidR="00051E8D" w:rsidRPr="007E6B80" w:rsidRDefault="00051E8D" w:rsidP="0087151B">
            <w:r w:rsidRPr="007E6B80">
              <w:t xml:space="preserve">виконавчі органи Сумської міської ради відповідно до закріплення здійснення повноважень, </w:t>
            </w:r>
            <w:r w:rsidRPr="007E6B80">
              <w:lastRenderedPageBreak/>
              <w:t>Головне управління ДПС у Сумській області</w:t>
            </w:r>
          </w:p>
        </w:tc>
      </w:tr>
      <w:tr w:rsidR="00051E8D" w:rsidRPr="007E6B80" w:rsidTr="00B46341">
        <w:tc>
          <w:tcPr>
            <w:tcW w:w="739" w:type="dxa"/>
          </w:tcPr>
          <w:p w:rsidR="00051E8D" w:rsidRPr="007E6B80" w:rsidRDefault="002802F1" w:rsidP="002802F1">
            <w:pPr>
              <w:ind w:left="142"/>
              <w:jc w:val="left"/>
            </w:pPr>
            <w:r>
              <w:lastRenderedPageBreak/>
              <w:t>5.</w:t>
            </w:r>
          </w:p>
        </w:tc>
        <w:tc>
          <w:tcPr>
            <w:tcW w:w="5387" w:type="dxa"/>
          </w:tcPr>
          <w:p w:rsidR="00051E8D" w:rsidRPr="007E6B80" w:rsidRDefault="00051E8D" w:rsidP="00D11DA5">
            <w:r w:rsidRPr="007E6B80">
              <w:t xml:space="preserve">Визначення </w:t>
            </w:r>
            <w:r w:rsidR="006F055B">
              <w:t xml:space="preserve">загальних </w:t>
            </w:r>
            <w:r w:rsidRPr="007E6B80">
              <w:t>орієнтовн</w:t>
            </w:r>
            <w:r w:rsidR="007A7C7C">
              <w:t>их</w:t>
            </w:r>
            <w:r w:rsidRPr="007E6B80">
              <w:t xml:space="preserve"> граничн</w:t>
            </w:r>
            <w:r w:rsidR="007A7C7C">
              <w:t>их</w:t>
            </w:r>
            <w:r w:rsidRPr="007E6B80">
              <w:t xml:space="preserve"> показник</w:t>
            </w:r>
            <w:r w:rsidR="007A7C7C">
              <w:t>ів</w:t>
            </w:r>
            <w:r w:rsidRPr="007E6B80">
              <w:t xml:space="preserve"> видатків та надання кредитів</w:t>
            </w:r>
            <w:r w:rsidR="00825E56">
              <w:t xml:space="preserve"> з бюджету Сумської міської територіальної громади на середньостроковий період</w:t>
            </w:r>
            <w:r w:rsidR="00753F18">
              <w:t xml:space="preserve"> та орієнтовного граничного сукупного обсягу публічних інвестицій</w:t>
            </w:r>
            <w:r w:rsidR="0052780D">
              <w:t xml:space="preserve"> </w:t>
            </w:r>
          </w:p>
        </w:tc>
        <w:tc>
          <w:tcPr>
            <w:tcW w:w="1488" w:type="dxa"/>
          </w:tcPr>
          <w:p w:rsidR="00051E8D" w:rsidRPr="007E6B80" w:rsidRDefault="00EF5560" w:rsidP="00062CE3">
            <w:pPr>
              <w:jc w:val="center"/>
            </w:pPr>
            <w:r w:rsidRPr="007E6B80">
              <w:t>Червень</w:t>
            </w:r>
            <w:r w:rsidR="00062CE3" w:rsidRPr="007E6B80">
              <w:t xml:space="preserve"> </w:t>
            </w:r>
            <w:r w:rsidRPr="007E6B80">
              <w:t>2025 року</w:t>
            </w:r>
          </w:p>
        </w:tc>
        <w:tc>
          <w:tcPr>
            <w:tcW w:w="2611" w:type="dxa"/>
          </w:tcPr>
          <w:p w:rsidR="00051E8D" w:rsidRPr="007E6B80" w:rsidRDefault="00051E8D" w:rsidP="0087151B">
            <w:r w:rsidRPr="007E6B80">
              <w:t>Департамент фінансів, економіки та інвестицій</w:t>
            </w:r>
            <w:r w:rsidR="00CB4CAE" w:rsidRPr="007E6B80">
              <w:t xml:space="preserve"> Сумської міської ради</w:t>
            </w:r>
          </w:p>
        </w:tc>
      </w:tr>
      <w:tr w:rsidR="00051E8D" w:rsidRPr="007E6B80" w:rsidTr="00B46341">
        <w:tc>
          <w:tcPr>
            <w:tcW w:w="739" w:type="dxa"/>
          </w:tcPr>
          <w:p w:rsidR="00051E8D" w:rsidRPr="007E6B80" w:rsidRDefault="002802F1" w:rsidP="002802F1">
            <w:pPr>
              <w:ind w:left="142"/>
              <w:jc w:val="left"/>
            </w:pPr>
            <w:r>
              <w:t>6.</w:t>
            </w:r>
          </w:p>
        </w:tc>
        <w:tc>
          <w:tcPr>
            <w:tcW w:w="5387" w:type="dxa"/>
          </w:tcPr>
          <w:p w:rsidR="00051E8D" w:rsidRPr="007E6B80" w:rsidRDefault="00062CE3" w:rsidP="00247FE9">
            <w:r w:rsidRPr="007E6B80">
              <w:t>Розроблення та доведення д</w:t>
            </w:r>
            <w:r w:rsidR="00051E8D" w:rsidRPr="007E6B80">
              <w:t xml:space="preserve">о головних </w:t>
            </w:r>
            <w:r w:rsidRPr="007E6B80">
              <w:t>розпорядників бюджетних коштів І</w:t>
            </w:r>
            <w:r w:rsidR="00051E8D" w:rsidRPr="007E6B80">
              <w:t>нструкці</w:t>
            </w:r>
            <w:r w:rsidR="00626941">
              <w:t>ї</w:t>
            </w:r>
            <w:r w:rsidR="00051E8D" w:rsidRPr="007E6B80">
              <w:t xml:space="preserve"> </w:t>
            </w:r>
            <w:r w:rsidR="00626941">
              <w:t>щодо</w:t>
            </w:r>
            <w:r w:rsidR="00051E8D" w:rsidRPr="007E6B80">
              <w:t xml:space="preserve"> підготовки </w:t>
            </w:r>
            <w:r w:rsidR="009D719D" w:rsidRPr="007E6B80">
              <w:t>бюджетної пропозиції</w:t>
            </w:r>
            <w:r w:rsidR="00051E8D" w:rsidRPr="007E6B80">
              <w:t xml:space="preserve"> та орієнтовних граничних показників видатків та надання кредитів з бюджету Сумської міської територіальної громади</w:t>
            </w:r>
            <w:r w:rsidR="00CC23A4">
              <w:t xml:space="preserve"> на середньостроковий період</w:t>
            </w:r>
          </w:p>
        </w:tc>
        <w:tc>
          <w:tcPr>
            <w:tcW w:w="1488" w:type="dxa"/>
          </w:tcPr>
          <w:p w:rsidR="00051E8D" w:rsidRPr="007E6B80" w:rsidRDefault="00062CE3" w:rsidP="0087151B">
            <w:pPr>
              <w:jc w:val="center"/>
            </w:pPr>
            <w:r w:rsidRPr="007E6B80">
              <w:t>Червень</w:t>
            </w:r>
            <w:r w:rsidR="00EF5560" w:rsidRPr="007E6B80">
              <w:t xml:space="preserve"> 2025 року</w:t>
            </w:r>
          </w:p>
        </w:tc>
        <w:tc>
          <w:tcPr>
            <w:tcW w:w="2611" w:type="dxa"/>
          </w:tcPr>
          <w:p w:rsidR="00051E8D" w:rsidRPr="007E6B80" w:rsidRDefault="00051E8D" w:rsidP="0087151B">
            <w:r w:rsidRPr="007E6B80">
              <w:t>Департамент фінансів, економіки та інвестицій</w:t>
            </w:r>
            <w:r w:rsidR="00CB4CAE" w:rsidRPr="007E6B80">
              <w:t xml:space="preserve"> Сумської міської ради</w:t>
            </w:r>
          </w:p>
        </w:tc>
      </w:tr>
      <w:tr w:rsidR="00051E8D" w:rsidRPr="007E6B80" w:rsidTr="00B46341">
        <w:tc>
          <w:tcPr>
            <w:tcW w:w="739" w:type="dxa"/>
          </w:tcPr>
          <w:p w:rsidR="00051E8D" w:rsidRPr="007E6B80" w:rsidRDefault="002802F1" w:rsidP="002802F1">
            <w:pPr>
              <w:ind w:left="142"/>
              <w:jc w:val="left"/>
            </w:pPr>
            <w:r>
              <w:t>7.</w:t>
            </w:r>
          </w:p>
        </w:tc>
        <w:tc>
          <w:tcPr>
            <w:tcW w:w="5387" w:type="dxa"/>
          </w:tcPr>
          <w:p w:rsidR="00051E8D" w:rsidRPr="007E6B80" w:rsidRDefault="00051E8D" w:rsidP="00822567">
            <w:r w:rsidRPr="007E6B80">
              <w:t xml:space="preserve">Надання Департаменту фінансів, економіки та інвестицій </w:t>
            </w:r>
            <w:r w:rsidR="009D719D" w:rsidRPr="007E6B80">
              <w:t xml:space="preserve">бюджетних </w:t>
            </w:r>
            <w:r w:rsidRPr="007E6B80">
              <w:t xml:space="preserve">пропозицій </w:t>
            </w:r>
            <w:r w:rsidR="00645B56">
              <w:t>на 2026 – 2028 роки</w:t>
            </w:r>
          </w:p>
        </w:tc>
        <w:tc>
          <w:tcPr>
            <w:tcW w:w="1488" w:type="dxa"/>
          </w:tcPr>
          <w:p w:rsidR="00051E8D" w:rsidRPr="007E6B80" w:rsidRDefault="00051E8D" w:rsidP="0087151B">
            <w:pPr>
              <w:jc w:val="center"/>
            </w:pPr>
            <w:r w:rsidRPr="007E6B80">
              <w:t>До 15 липня</w:t>
            </w:r>
            <w:r w:rsidR="00EE04FB" w:rsidRPr="007E6B80">
              <w:rPr>
                <w:lang w:val="ru-RU"/>
              </w:rPr>
              <w:t xml:space="preserve"> 2025 р</w:t>
            </w:r>
            <w:r w:rsidR="00E310D8" w:rsidRPr="007E6B80">
              <w:t>оку</w:t>
            </w:r>
          </w:p>
        </w:tc>
        <w:tc>
          <w:tcPr>
            <w:tcW w:w="2611" w:type="dxa"/>
          </w:tcPr>
          <w:p w:rsidR="00051E8D" w:rsidRPr="007E6B80" w:rsidRDefault="00051E8D" w:rsidP="0087151B">
            <w:r w:rsidRPr="007E6B80">
              <w:t>Головні розпорядники бюджетних коштів</w:t>
            </w:r>
          </w:p>
        </w:tc>
      </w:tr>
      <w:tr w:rsidR="00051E8D" w:rsidRPr="007E6B80" w:rsidTr="00B46341">
        <w:tc>
          <w:tcPr>
            <w:tcW w:w="739" w:type="dxa"/>
          </w:tcPr>
          <w:p w:rsidR="00051E8D" w:rsidRPr="002802F1" w:rsidRDefault="002802F1" w:rsidP="002802F1">
            <w:pPr>
              <w:ind w:left="142"/>
              <w:jc w:val="left"/>
            </w:pPr>
            <w:r w:rsidRPr="002802F1">
              <w:t>8.</w:t>
            </w:r>
          </w:p>
        </w:tc>
        <w:tc>
          <w:tcPr>
            <w:tcW w:w="5387" w:type="dxa"/>
          </w:tcPr>
          <w:p w:rsidR="00051E8D" w:rsidRPr="002802F1" w:rsidRDefault="00051E8D" w:rsidP="00822567">
            <w:r w:rsidRPr="002802F1">
              <w:t>Здійснення аналізу поданих головними розпорядниками бюджетних коштів</w:t>
            </w:r>
            <w:r w:rsidR="009D719D" w:rsidRPr="002802F1">
              <w:t xml:space="preserve"> бюджетних</w:t>
            </w:r>
            <w:r w:rsidRPr="002802F1">
              <w:t xml:space="preserve"> пропозицій на відповідність доведеним орієнтовним граничним показникам видатків та надання кредитів з бюджету Сумської міської територіальної громади </w:t>
            </w:r>
            <w:r w:rsidR="00626941" w:rsidRPr="002802F1">
              <w:t xml:space="preserve">на середньостроковий період </w:t>
            </w:r>
            <w:r w:rsidRPr="002802F1">
              <w:t>і вимогам доведен</w:t>
            </w:r>
            <w:r w:rsidR="00626941" w:rsidRPr="002802F1">
              <w:t>ої</w:t>
            </w:r>
            <w:r w:rsidRPr="002802F1">
              <w:t xml:space="preserve"> </w:t>
            </w:r>
            <w:r w:rsidR="00626941" w:rsidRPr="002802F1">
              <w:t>І</w:t>
            </w:r>
            <w:r w:rsidRPr="002802F1">
              <w:t>нструкці</w:t>
            </w:r>
            <w:r w:rsidR="00626941" w:rsidRPr="002802F1">
              <w:t xml:space="preserve">ї </w:t>
            </w:r>
            <w:r w:rsidRPr="002802F1">
              <w:t xml:space="preserve"> </w:t>
            </w:r>
          </w:p>
        </w:tc>
        <w:tc>
          <w:tcPr>
            <w:tcW w:w="1488" w:type="dxa"/>
          </w:tcPr>
          <w:p w:rsidR="00051E8D" w:rsidRPr="007E6B80" w:rsidRDefault="00051E8D" w:rsidP="00E310D8">
            <w:pPr>
              <w:jc w:val="center"/>
            </w:pPr>
            <w:r w:rsidRPr="007E6B80">
              <w:t>До 25 липня</w:t>
            </w:r>
            <w:r w:rsidR="00EE04FB" w:rsidRPr="007E6B80">
              <w:t xml:space="preserve"> 2025 </w:t>
            </w:r>
            <w:r w:rsidR="00E310D8" w:rsidRPr="007E6B80">
              <w:t>року</w:t>
            </w:r>
          </w:p>
        </w:tc>
        <w:tc>
          <w:tcPr>
            <w:tcW w:w="2611" w:type="dxa"/>
          </w:tcPr>
          <w:p w:rsidR="00051E8D" w:rsidRPr="007E6B80" w:rsidRDefault="00051E8D" w:rsidP="0087151B">
            <w:r w:rsidRPr="007E6B80">
              <w:t>Департамент фінансів, економіки та інвестицій</w:t>
            </w:r>
            <w:r w:rsidR="009A748C" w:rsidRPr="007E6B80">
              <w:t xml:space="preserve"> Сумської міської ради</w:t>
            </w:r>
          </w:p>
        </w:tc>
      </w:tr>
      <w:tr w:rsidR="00051E8D" w:rsidRPr="007E6B80" w:rsidTr="00B46341">
        <w:tc>
          <w:tcPr>
            <w:tcW w:w="739" w:type="dxa"/>
          </w:tcPr>
          <w:p w:rsidR="00051E8D" w:rsidRPr="007E6B80" w:rsidRDefault="002802F1" w:rsidP="002802F1">
            <w:pPr>
              <w:ind w:left="142"/>
              <w:jc w:val="left"/>
            </w:pPr>
            <w:r>
              <w:t>9.</w:t>
            </w:r>
          </w:p>
        </w:tc>
        <w:tc>
          <w:tcPr>
            <w:tcW w:w="5387" w:type="dxa"/>
          </w:tcPr>
          <w:p w:rsidR="00051E8D" w:rsidRPr="007E6B80" w:rsidRDefault="00051E8D" w:rsidP="009D719D">
            <w:r w:rsidRPr="007E6B80">
              <w:t>Проведення</w:t>
            </w:r>
            <w:r w:rsidR="009D719D" w:rsidRPr="007E6B80">
              <w:t xml:space="preserve"> </w:t>
            </w:r>
            <w:r w:rsidR="00626941">
              <w:t>(</w:t>
            </w:r>
            <w:r w:rsidR="009D719D" w:rsidRPr="007E6B80">
              <w:t>за потреби</w:t>
            </w:r>
            <w:r w:rsidR="00626941">
              <w:t>)</w:t>
            </w:r>
            <w:r w:rsidR="009D719D" w:rsidRPr="007E6B80">
              <w:t xml:space="preserve"> робочих зустрічей</w:t>
            </w:r>
            <w:r w:rsidRPr="007E6B80">
              <w:t xml:space="preserve"> з головними розпорядниками бюджетних коштів щодо узгодження показників прогнозу бюджету Сумської міської територіальної громади </w:t>
            </w:r>
            <w:r w:rsidR="003C570A">
              <w:t xml:space="preserve">на </w:t>
            </w:r>
            <w:r w:rsidR="003C570A">
              <w:br/>
              <w:t>2026 – 2028 роки</w:t>
            </w:r>
          </w:p>
        </w:tc>
        <w:tc>
          <w:tcPr>
            <w:tcW w:w="1488" w:type="dxa"/>
          </w:tcPr>
          <w:p w:rsidR="00051E8D" w:rsidRPr="007E6B80" w:rsidRDefault="00051E8D" w:rsidP="00134E99">
            <w:pPr>
              <w:jc w:val="center"/>
            </w:pPr>
            <w:r w:rsidRPr="007E6B80">
              <w:t xml:space="preserve">До </w:t>
            </w:r>
            <w:r w:rsidR="00134E99">
              <w:t xml:space="preserve">05 </w:t>
            </w:r>
            <w:r w:rsidRPr="007E6B80">
              <w:t xml:space="preserve">серпня </w:t>
            </w:r>
            <w:r w:rsidR="00EE04FB" w:rsidRPr="007E6B80">
              <w:t>2025 року</w:t>
            </w:r>
          </w:p>
        </w:tc>
        <w:tc>
          <w:tcPr>
            <w:tcW w:w="2611" w:type="dxa"/>
          </w:tcPr>
          <w:p w:rsidR="00051E8D" w:rsidRPr="007E6B80" w:rsidRDefault="00051E8D" w:rsidP="0087151B">
            <w:r w:rsidRPr="007E6B80">
              <w:t>Департамент фінансів, економіки та інвестицій</w:t>
            </w:r>
            <w:r w:rsidR="009A748C" w:rsidRPr="007E6B80">
              <w:t xml:space="preserve"> Сумської міської ради</w:t>
            </w:r>
            <w:r w:rsidRPr="007E6B80">
              <w:t>, головні розпорядники бюджетних коштів</w:t>
            </w:r>
          </w:p>
        </w:tc>
      </w:tr>
      <w:tr w:rsidR="00051E8D" w:rsidRPr="007E6B80" w:rsidTr="00B46341">
        <w:tc>
          <w:tcPr>
            <w:tcW w:w="739" w:type="dxa"/>
          </w:tcPr>
          <w:p w:rsidR="00051E8D" w:rsidRPr="007E6B80" w:rsidRDefault="002802F1" w:rsidP="002802F1">
            <w:pPr>
              <w:ind w:left="142"/>
              <w:jc w:val="left"/>
            </w:pPr>
            <w:r>
              <w:lastRenderedPageBreak/>
              <w:t>10.</w:t>
            </w:r>
          </w:p>
        </w:tc>
        <w:tc>
          <w:tcPr>
            <w:tcW w:w="5387" w:type="dxa"/>
          </w:tcPr>
          <w:p w:rsidR="00051E8D" w:rsidRPr="007E6B80" w:rsidRDefault="00051E8D" w:rsidP="00E310D8">
            <w:r w:rsidRPr="007E6B80">
              <w:t>Доопрацювання прогнозу бюджету Сумської міської територіальної громади</w:t>
            </w:r>
            <w:r w:rsidR="003C570A">
              <w:t xml:space="preserve"> на 2026 – 2028 роки</w:t>
            </w:r>
            <w:r w:rsidRPr="007E6B80">
              <w:t xml:space="preserve"> за результатами проведених </w:t>
            </w:r>
            <w:r w:rsidR="00E310D8" w:rsidRPr="007E6B80">
              <w:t>робочих зустрічей</w:t>
            </w:r>
            <w:r w:rsidRPr="007E6B80">
              <w:t xml:space="preserve"> та інформації, отриманої від головних розпорядників бюджетних коштів</w:t>
            </w:r>
          </w:p>
        </w:tc>
        <w:tc>
          <w:tcPr>
            <w:tcW w:w="1488" w:type="dxa"/>
          </w:tcPr>
          <w:p w:rsidR="00051E8D" w:rsidRPr="007E6B80" w:rsidRDefault="000D2CA9" w:rsidP="00134E99">
            <w:pPr>
              <w:jc w:val="center"/>
            </w:pPr>
            <w:r>
              <w:t>До 11</w:t>
            </w:r>
            <w:r w:rsidR="00134E99">
              <w:t xml:space="preserve"> серпня</w:t>
            </w:r>
            <w:r w:rsidR="00E310D8" w:rsidRPr="007E6B80">
              <w:t xml:space="preserve"> 2025 року</w:t>
            </w:r>
          </w:p>
        </w:tc>
        <w:tc>
          <w:tcPr>
            <w:tcW w:w="2611" w:type="dxa"/>
          </w:tcPr>
          <w:p w:rsidR="00051E8D" w:rsidRPr="007E6B80" w:rsidRDefault="00051E8D" w:rsidP="0087151B">
            <w:r w:rsidRPr="007E6B80">
              <w:t>Департамент фінансів, економіки та інвестицій</w:t>
            </w:r>
            <w:r w:rsidR="009A748C" w:rsidRPr="007E6B80">
              <w:t xml:space="preserve"> Сумської міської ради</w:t>
            </w:r>
          </w:p>
        </w:tc>
      </w:tr>
      <w:tr w:rsidR="005F50DA" w:rsidRPr="007E6B80" w:rsidTr="00B46341">
        <w:tc>
          <w:tcPr>
            <w:tcW w:w="739" w:type="dxa"/>
          </w:tcPr>
          <w:p w:rsidR="005F50DA" w:rsidRPr="007E6B80" w:rsidRDefault="002802F1" w:rsidP="002802F1">
            <w:pPr>
              <w:ind w:left="142"/>
              <w:jc w:val="left"/>
            </w:pPr>
            <w:r>
              <w:t>11.</w:t>
            </w:r>
          </w:p>
        </w:tc>
        <w:tc>
          <w:tcPr>
            <w:tcW w:w="5387" w:type="dxa"/>
          </w:tcPr>
          <w:p w:rsidR="005F50DA" w:rsidRPr="009A748C" w:rsidRDefault="005F50DA" w:rsidP="00E310D8">
            <w:r w:rsidRPr="009A748C">
              <w:t>Подання прогнозу бюджету Сумської міської територіальної громади</w:t>
            </w:r>
            <w:r w:rsidR="009A748C">
              <w:t xml:space="preserve"> на 2026 – 2028 роки</w:t>
            </w:r>
            <w:r w:rsidRPr="009A748C">
              <w:t xml:space="preserve"> на розгляд та схвалення виконавчого комітету Сумської міської ради</w:t>
            </w:r>
          </w:p>
        </w:tc>
        <w:tc>
          <w:tcPr>
            <w:tcW w:w="1488" w:type="dxa"/>
          </w:tcPr>
          <w:p w:rsidR="005F50DA" w:rsidRPr="009A748C" w:rsidRDefault="005F50DA" w:rsidP="00FD3A47">
            <w:pPr>
              <w:jc w:val="center"/>
            </w:pPr>
            <w:r w:rsidRPr="009A748C">
              <w:t xml:space="preserve">До 15 серпня </w:t>
            </w:r>
          </w:p>
        </w:tc>
        <w:tc>
          <w:tcPr>
            <w:tcW w:w="2611" w:type="dxa"/>
          </w:tcPr>
          <w:p w:rsidR="005F50DA" w:rsidRPr="009A748C" w:rsidRDefault="005F50DA" w:rsidP="0087151B">
            <w:r w:rsidRPr="009A748C">
              <w:t>Департамент фінансів, економіки та інвестицій</w:t>
            </w:r>
            <w:r w:rsidR="009A748C" w:rsidRPr="007E6B80">
              <w:t xml:space="preserve"> Сумської міської ради</w:t>
            </w:r>
          </w:p>
        </w:tc>
      </w:tr>
      <w:tr w:rsidR="005F50DA" w:rsidRPr="007E6B80" w:rsidTr="00B46341">
        <w:tc>
          <w:tcPr>
            <w:tcW w:w="739" w:type="dxa"/>
          </w:tcPr>
          <w:p w:rsidR="005F50DA" w:rsidRPr="007E6B80" w:rsidRDefault="002802F1" w:rsidP="002802F1">
            <w:pPr>
              <w:ind w:left="142"/>
              <w:jc w:val="left"/>
            </w:pPr>
            <w:r>
              <w:t>12.</w:t>
            </w:r>
          </w:p>
        </w:tc>
        <w:tc>
          <w:tcPr>
            <w:tcW w:w="5387" w:type="dxa"/>
          </w:tcPr>
          <w:p w:rsidR="005F50DA" w:rsidRPr="004A716D" w:rsidRDefault="005F50DA" w:rsidP="005F50DA">
            <w:pPr>
              <w:rPr>
                <w:highlight w:val="yellow"/>
              </w:rPr>
            </w:pPr>
            <w:r w:rsidRPr="009A748C">
              <w:t>Розгляд та схвалення прогнозу бюджету Сумської міської територіальної громади</w:t>
            </w:r>
            <w:r w:rsidR="009A748C">
              <w:t xml:space="preserve"> на 2026 – 2028 роки</w:t>
            </w:r>
          </w:p>
        </w:tc>
        <w:tc>
          <w:tcPr>
            <w:tcW w:w="1488" w:type="dxa"/>
          </w:tcPr>
          <w:p w:rsidR="005F50DA" w:rsidRPr="004A716D" w:rsidRDefault="005F50DA" w:rsidP="005F50DA">
            <w:pPr>
              <w:jc w:val="center"/>
              <w:rPr>
                <w:highlight w:val="yellow"/>
              </w:rPr>
            </w:pPr>
            <w:r w:rsidRPr="00645B56">
              <w:t>До 1 вересня (</w:t>
            </w:r>
            <w:r w:rsidRPr="00645B56">
              <w:rPr>
                <w:i/>
                <w:iCs/>
              </w:rPr>
              <w:t>гранич</w:t>
            </w:r>
            <w:r w:rsidR="00645B56">
              <w:rPr>
                <w:i/>
                <w:iCs/>
              </w:rPr>
              <w:t>-</w:t>
            </w:r>
            <w:r w:rsidRPr="00645B56">
              <w:rPr>
                <w:i/>
                <w:iCs/>
              </w:rPr>
              <w:t>ний термін)</w:t>
            </w:r>
          </w:p>
        </w:tc>
        <w:tc>
          <w:tcPr>
            <w:tcW w:w="2611" w:type="dxa"/>
          </w:tcPr>
          <w:p w:rsidR="005F50DA" w:rsidRPr="004A716D" w:rsidRDefault="005F50DA" w:rsidP="005F50DA">
            <w:pPr>
              <w:rPr>
                <w:highlight w:val="yellow"/>
              </w:rPr>
            </w:pPr>
            <w:r w:rsidRPr="009A748C">
              <w:t>Виконавчий комітет</w:t>
            </w:r>
            <w:r w:rsidR="009A748C" w:rsidRPr="009A748C">
              <w:t xml:space="preserve"> Сумської міської ради</w:t>
            </w:r>
            <w:r w:rsidRPr="009A748C">
              <w:t>, Департамент фінансів, економіки та інвестицій</w:t>
            </w:r>
            <w:r w:rsidR="009A748C" w:rsidRPr="009A748C">
              <w:t xml:space="preserve"> Сумської міської ради</w:t>
            </w:r>
            <w:r w:rsidRPr="009A748C">
              <w:t>, головні розпорядники бюджетних коштів</w:t>
            </w:r>
          </w:p>
        </w:tc>
      </w:tr>
      <w:tr w:rsidR="005F50DA" w:rsidRPr="007E6B80" w:rsidTr="00B46341">
        <w:trPr>
          <w:trHeight w:val="1974"/>
        </w:trPr>
        <w:tc>
          <w:tcPr>
            <w:tcW w:w="739" w:type="dxa"/>
          </w:tcPr>
          <w:p w:rsidR="005F50DA" w:rsidRPr="007E6B80" w:rsidRDefault="002802F1" w:rsidP="002802F1">
            <w:pPr>
              <w:ind w:left="142"/>
              <w:jc w:val="left"/>
            </w:pPr>
            <w:r>
              <w:t>13.</w:t>
            </w:r>
          </w:p>
        </w:tc>
        <w:tc>
          <w:tcPr>
            <w:tcW w:w="5387" w:type="dxa"/>
          </w:tcPr>
          <w:p w:rsidR="005F50DA" w:rsidRPr="009A748C" w:rsidRDefault="005F50DA" w:rsidP="00FD3A47">
            <w:r w:rsidRPr="009A748C">
              <w:t xml:space="preserve">Подання прогнозу бюджету Сумської міської територіальної громади </w:t>
            </w:r>
            <w:r w:rsidR="00FD3A47" w:rsidRPr="009A748C">
              <w:t>на 2026 – 2028 роки</w:t>
            </w:r>
            <w:r w:rsidRPr="009A748C">
              <w:t xml:space="preserve"> </w:t>
            </w:r>
            <w:r w:rsidR="009A748C" w:rsidRPr="009A748C">
              <w:t xml:space="preserve">до </w:t>
            </w:r>
            <w:r w:rsidRPr="009A748C">
              <w:t>Сумської міської ради для розгляду у порядку, визначеному радою</w:t>
            </w:r>
          </w:p>
        </w:tc>
        <w:tc>
          <w:tcPr>
            <w:tcW w:w="1488" w:type="dxa"/>
          </w:tcPr>
          <w:p w:rsidR="005F50DA" w:rsidRPr="009A748C" w:rsidRDefault="005F50DA" w:rsidP="005F50DA">
            <w:pPr>
              <w:jc w:val="center"/>
            </w:pPr>
            <w:r w:rsidRPr="009A748C">
              <w:t>Протягом 5 днів після схвалення прогнозу</w:t>
            </w:r>
          </w:p>
        </w:tc>
        <w:tc>
          <w:tcPr>
            <w:tcW w:w="2611" w:type="dxa"/>
          </w:tcPr>
          <w:p w:rsidR="005F50DA" w:rsidRPr="009A748C" w:rsidRDefault="005F50DA" w:rsidP="005F50DA">
            <w:r w:rsidRPr="009A748C">
              <w:t>Департамент фінансів, економіки та інвестицій</w:t>
            </w:r>
            <w:r w:rsidR="009A748C" w:rsidRPr="007E6B80">
              <w:t xml:space="preserve"> Сумської міської ради</w:t>
            </w:r>
          </w:p>
        </w:tc>
      </w:tr>
    </w:tbl>
    <w:p w:rsidR="00D06476" w:rsidRDefault="00D06476" w:rsidP="00D06476"/>
    <w:p w:rsidR="00D06476" w:rsidRDefault="00D06476" w:rsidP="00D06476"/>
    <w:p w:rsidR="00D06476" w:rsidRDefault="00D06476" w:rsidP="00D06476"/>
    <w:p w:rsidR="00D06476" w:rsidRPr="002802F1" w:rsidRDefault="00D06476" w:rsidP="00D06476"/>
    <w:p w:rsidR="00D06476" w:rsidRPr="002802F1" w:rsidRDefault="00B43E04" w:rsidP="00D06476">
      <w:r>
        <w:t>Д</w:t>
      </w:r>
      <w:r w:rsidR="00D06476" w:rsidRPr="002802F1">
        <w:t>иректор</w:t>
      </w:r>
      <w:r>
        <w:t xml:space="preserve"> </w:t>
      </w:r>
      <w:r w:rsidR="00D06476" w:rsidRPr="002802F1">
        <w:t xml:space="preserve">Департаменту фінансів, </w:t>
      </w:r>
    </w:p>
    <w:p w:rsidR="00D06476" w:rsidRPr="002802F1" w:rsidRDefault="00D06476" w:rsidP="00D06476">
      <w:r w:rsidRPr="002802F1">
        <w:t xml:space="preserve">економіки та інвестицій </w:t>
      </w:r>
    </w:p>
    <w:p w:rsidR="00D06476" w:rsidRPr="002802F1" w:rsidRDefault="00D06476" w:rsidP="00D06476">
      <w:r w:rsidRPr="002802F1">
        <w:t xml:space="preserve">Сумської міської ради </w:t>
      </w:r>
      <w:r w:rsidRPr="002802F1">
        <w:tab/>
      </w:r>
      <w:r w:rsidRPr="002802F1">
        <w:tab/>
      </w:r>
      <w:r w:rsidRPr="002802F1">
        <w:tab/>
      </w:r>
      <w:r w:rsidR="009C06D2" w:rsidRPr="00B43E04">
        <w:t xml:space="preserve"> </w:t>
      </w:r>
      <w:r w:rsidRPr="002802F1">
        <w:tab/>
      </w:r>
      <w:r w:rsidR="002802F1">
        <w:tab/>
      </w:r>
      <w:r w:rsidR="00B43E04">
        <w:tab/>
      </w:r>
      <w:r w:rsidR="005C1CFE">
        <w:t xml:space="preserve">        Світлана ЛИПОВА</w:t>
      </w:r>
    </w:p>
    <w:sectPr w:rsidR="00D06476" w:rsidRPr="002802F1" w:rsidSect="003F6938">
      <w:headerReference w:type="default" r:id="rId7"/>
      <w:pgSz w:w="11906" w:h="16838"/>
      <w:pgMar w:top="1134" w:right="850" w:bottom="709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B05" w:rsidRDefault="00F97B05" w:rsidP="00B46341">
      <w:r>
        <w:separator/>
      </w:r>
    </w:p>
  </w:endnote>
  <w:endnote w:type="continuationSeparator" w:id="0">
    <w:p w:rsidR="00F97B05" w:rsidRDefault="00F97B05" w:rsidP="00B4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B05" w:rsidRDefault="00F97B05" w:rsidP="00B46341">
      <w:r>
        <w:separator/>
      </w:r>
    </w:p>
  </w:footnote>
  <w:footnote w:type="continuationSeparator" w:id="0">
    <w:p w:rsidR="00F97B05" w:rsidRDefault="00F97B05" w:rsidP="00B46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8637652"/>
      <w:docPartObj>
        <w:docPartGallery w:val="Page Numbers (Top of Page)"/>
        <w:docPartUnique/>
      </w:docPartObj>
    </w:sdtPr>
    <w:sdtEndPr/>
    <w:sdtContent>
      <w:p w:rsidR="00B46341" w:rsidRDefault="00B46341" w:rsidP="00B4634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194" w:rsidRPr="00AF3194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1AA2"/>
    <w:multiLevelType w:val="hybridMultilevel"/>
    <w:tmpl w:val="DF541A4E"/>
    <w:lvl w:ilvl="0" w:tplc="83000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35CAC"/>
    <w:multiLevelType w:val="hybridMultilevel"/>
    <w:tmpl w:val="3BA6B796"/>
    <w:lvl w:ilvl="0" w:tplc="6FA21B36">
      <w:start w:val="1"/>
      <w:numFmt w:val="decimal"/>
      <w:lvlText w:val="%1."/>
      <w:lvlJc w:val="left"/>
      <w:pPr>
        <w:ind w:left="1129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B85005"/>
    <w:multiLevelType w:val="hybridMultilevel"/>
    <w:tmpl w:val="2CBA452E"/>
    <w:lvl w:ilvl="0" w:tplc="83000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12F21"/>
    <w:multiLevelType w:val="hybridMultilevel"/>
    <w:tmpl w:val="9968BF26"/>
    <w:lvl w:ilvl="0" w:tplc="3AB6D0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A0515"/>
    <w:multiLevelType w:val="hybridMultilevel"/>
    <w:tmpl w:val="AD1808F0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85884"/>
    <w:multiLevelType w:val="hybridMultilevel"/>
    <w:tmpl w:val="6826E254"/>
    <w:lvl w:ilvl="0" w:tplc="70F27126">
      <w:start w:val="1"/>
      <w:numFmt w:val="decimal"/>
      <w:lvlText w:val="%1."/>
      <w:lvlJc w:val="left"/>
      <w:pPr>
        <w:ind w:left="1734" w:hanging="1050"/>
      </w:pPr>
      <w:rPr>
        <w:rFonts w:hint="default"/>
        <w:b w:val="0"/>
      </w:rPr>
    </w:lvl>
    <w:lvl w:ilvl="1" w:tplc="87E264CE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6" w15:restartNumberingAfterBreak="0">
    <w:nsid w:val="690A6575"/>
    <w:multiLevelType w:val="hybridMultilevel"/>
    <w:tmpl w:val="FF18F2F0"/>
    <w:lvl w:ilvl="0" w:tplc="9EAA7CA6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87E264CE">
      <w:numFmt w:val="bullet"/>
      <w:lvlText w:val="-"/>
      <w:lvlJc w:val="left"/>
      <w:pPr>
        <w:ind w:left="2509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77BC3E07"/>
    <w:multiLevelType w:val="hybridMultilevel"/>
    <w:tmpl w:val="DD2A153A"/>
    <w:lvl w:ilvl="0" w:tplc="CD524CD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70553"/>
    <w:multiLevelType w:val="hybridMultilevel"/>
    <w:tmpl w:val="B4EAE474"/>
    <w:lvl w:ilvl="0" w:tplc="9306E0B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0"/>
  </w:num>
  <w:num w:numId="7">
    <w:abstractNumId w:val="0"/>
  </w:num>
  <w:num w:numId="8">
    <w:abstractNumId w:val="8"/>
  </w:num>
  <w:num w:numId="9">
    <w:abstractNumId w:val="4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6F"/>
    <w:rsid w:val="00051E8D"/>
    <w:rsid w:val="0006210E"/>
    <w:rsid w:val="00062CE3"/>
    <w:rsid w:val="00067DA2"/>
    <w:rsid w:val="00070DC5"/>
    <w:rsid w:val="00077923"/>
    <w:rsid w:val="00082205"/>
    <w:rsid w:val="000878EA"/>
    <w:rsid w:val="00095F36"/>
    <w:rsid w:val="0009768E"/>
    <w:rsid w:val="000D02C9"/>
    <w:rsid w:val="000D2CA9"/>
    <w:rsid w:val="000E6B58"/>
    <w:rsid w:val="000F0B3B"/>
    <w:rsid w:val="001076E0"/>
    <w:rsid w:val="00131506"/>
    <w:rsid w:val="00134E99"/>
    <w:rsid w:val="001444FE"/>
    <w:rsid w:val="00155776"/>
    <w:rsid w:val="001A0348"/>
    <w:rsid w:val="001A6D3A"/>
    <w:rsid w:val="001D394B"/>
    <w:rsid w:val="002168EE"/>
    <w:rsid w:val="00222BD3"/>
    <w:rsid w:val="00226353"/>
    <w:rsid w:val="00247FE9"/>
    <w:rsid w:val="00253043"/>
    <w:rsid w:val="00257494"/>
    <w:rsid w:val="0026689C"/>
    <w:rsid w:val="00274179"/>
    <w:rsid w:val="002802F1"/>
    <w:rsid w:val="00281BD2"/>
    <w:rsid w:val="0029335C"/>
    <w:rsid w:val="002A7F2B"/>
    <w:rsid w:val="002B6806"/>
    <w:rsid w:val="002C3D13"/>
    <w:rsid w:val="002E638F"/>
    <w:rsid w:val="003177E4"/>
    <w:rsid w:val="00320A23"/>
    <w:rsid w:val="00361624"/>
    <w:rsid w:val="00361FA7"/>
    <w:rsid w:val="003A7B9E"/>
    <w:rsid w:val="003B3424"/>
    <w:rsid w:val="003B4B8A"/>
    <w:rsid w:val="003C570A"/>
    <w:rsid w:val="003E0FFE"/>
    <w:rsid w:val="003F6938"/>
    <w:rsid w:val="00414B7A"/>
    <w:rsid w:val="00424041"/>
    <w:rsid w:val="00450ED7"/>
    <w:rsid w:val="00467E0C"/>
    <w:rsid w:val="00475FB5"/>
    <w:rsid w:val="004762DE"/>
    <w:rsid w:val="00482C5B"/>
    <w:rsid w:val="00484914"/>
    <w:rsid w:val="004A716D"/>
    <w:rsid w:val="004C03F8"/>
    <w:rsid w:val="00521D98"/>
    <w:rsid w:val="0052780D"/>
    <w:rsid w:val="00561F26"/>
    <w:rsid w:val="00594638"/>
    <w:rsid w:val="005A0AA9"/>
    <w:rsid w:val="005A2B37"/>
    <w:rsid w:val="005A2D03"/>
    <w:rsid w:val="005A56BD"/>
    <w:rsid w:val="005A7766"/>
    <w:rsid w:val="005C1CFE"/>
    <w:rsid w:val="005F50DA"/>
    <w:rsid w:val="0061092C"/>
    <w:rsid w:val="006136CA"/>
    <w:rsid w:val="006144FB"/>
    <w:rsid w:val="00626941"/>
    <w:rsid w:val="00626FC0"/>
    <w:rsid w:val="00645B56"/>
    <w:rsid w:val="00647D5D"/>
    <w:rsid w:val="00665D6B"/>
    <w:rsid w:val="00683F8B"/>
    <w:rsid w:val="006C32D3"/>
    <w:rsid w:val="006F055B"/>
    <w:rsid w:val="00737D57"/>
    <w:rsid w:val="00740F6F"/>
    <w:rsid w:val="00743838"/>
    <w:rsid w:val="00753F18"/>
    <w:rsid w:val="00791F5E"/>
    <w:rsid w:val="00792725"/>
    <w:rsid w:val="007A7C7C"/>
    <w:rsid w:val="007B3004"/>
    <w:rsid w:val="007E6B80"/>
    <w:rsid w:val="00804CCA"/>
    <w:rsid w:val="00822567"/>
    <w:rsid w:val="00824E74"/>
    <w:rsid w:val="00825E56"/>
    <w:rsid w:val="008309B3"/>
    <w:rsid w:val="008667C3"/>
    <w:rsid w:val="008873AF"/>
    <w:rsid w:val="008A3792"/>
    <w:rsid w:val="008D56BD"/>
    <w:rsid w:val="008E1D24"/>
    <w:rsid w:val="008F56D7"/>
    <w:rsid w:val="009053B3"/>
    <w:rsid w:val="00910704"/>
    <w:rsid w:val="0091302A"/>
    <w:rsid w:val="00916B16"/>
    <w:rsid w:val="00921EC2"/>
    <w:rsid w:val="009A3A97"/>
    <w:rsid w:val="009A6806"/>
    <w:rsid w:val="009A748C"/>
    <w:rsid w:val="009B2542"/>
    <w:rsid w:val="009B56E8"/>
    <w:rsid w:val="009C06D2"/>
    <w:rsid w:val="009D719D"/>
    <w:rsid w:val="00A218AB"/>
    <w:rsid w:val="00A433B7"/>
    <w:rsid w:val="00A8797F"/>
    <w:rsid w:val="00AF3194"/>
    <w:rsid w:val="00B00C0E"/>
    <w:rsid w:val="00B0467B"/>
    <w:rsid w:val="00B132F2"/>
    <w:rsid w:val="00B1507B"/>
    <w:rsid w:val="00B24839"/>
    <w:rsid w:val="00B43E04"/>
    <w:rsid w:val="00B46341"/>
    <w:rsid w:val="00B57FDF"/>
    <w:rsid w:val="00B67321"/>
    <w:rsid w:val="00B71C4C"/>
    <w:rsid w:val="00B72DAA"/>
    <w:rsid w:val="00B8193B"/>
    <w:rsid w:val="00BC5A1B"/>
    <w:rsid w:val="00BE63F5"/>
    <w:rsid w:val="00C03ABD"/>
    <w:rsid w:val="00C30694"/>
    <w:rsid w:val="00C37164"/>
    <w:rsid w:val="00C828CB"/>
    <w:rsid w:val="00CA6D52"/>
    <w:rsid w:val="00CB4CAE"/>
    <w:rsid w:val="00CC23A4"/>
    <w:rsid w:val="00CE0F50"/>
    <w:rsid w:val="00D03066"/>
    <w:rsid w:val="00D06476"/>
    <w:rsid w:val="00D11DA5"/>
    <w:rsid w:val="00D1403B"/>
    <w:rsid w:val="00D21B11"/>
    <w:rsid w:val="00D604F2"/>
    <w:rsid w:val="00DA2BD3"/>
    <w:rsid w:val="00DA46DA"/>
    <w:rsid w:val="00DB1C49"/>
    <w:rsid w:val="00DE274E"/>
    <w:rsid w:val="00DF3619"/>
    <w:rsid w:val="00E02D4E"/>
    <w:rsid w:val="00E215FB"/>
    <w:rsid w:val="00E310D8"/>
    <w:rsid w:val="00E32645"/>
    <w:rsid w:val="00E61BA9"/>
    <w:rsid w:val="00E76D2F"/>
    <w:rsid w:val="00E933A6"/>
    <w:rsid w:val="00EC0F25"/>
    <w:rsid w:val="00EE04FB"/>
    <w:rsid w:val="00EF5560"/>
    <w:rsid w:val="00F07200"/>
    <w:rsid w:val="00F21A06"/>
    <w:rsid w:val="00F5272E"/>
    <w:rsid w:val="00F53C64"/>
    <w:rsid w:val="00F64B6F"/>
    <w:rsid w:val="00F945DF"/>
    <w:rsid w:val="00F94F1C"/>
    <w:rsid w:val="00F97B05"/>
    <w:rsid w:val="00F97B30"/>
    <w:rsid w:val="00FD3A47"/>
    <w:rsid w:val="00FD3F32"/>
    <w:rsid w:val="00FE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39B50"/>
  <w15:chartTrackingRefBased/>
  <w15:docId w15:val="{9ED179CA-8114-4BA0-9CD5-88114544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B6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">
    <w:name w:val="heading 2"/>
    <w:basedOn w:val="a"/>
    <w:next w:val="a"/>
    <w:link w:val="20"/>
    <w:qFormat/>
    <w:rsid w:val="00F64B6F"/>
    <w:pPr>
      <w:keepNext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910704"/>
    <w:pPr>
      <w:keepNext/>
      <w:jc w:val="center"/>
      <w:outlineLvl w:val="3"/>
    </w:pPr>
    <w:rPr>
      <w:b/>
      <w:sz w:val="3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64B6F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F64B6F"/>
  </w:style>
  <w:style w:type="character" w:customStyle="1" w:styleId="a4">
    <w:name w:val="Основной текст Знак"/>
    <w:basedOn w:val="a0"/>
    <w:link w:val="a3"/>
    <w:rsid w:val="00F64B6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3">
    <w:name w:val="Body Text 3"/>
    <w:basedOn w:val="a"/>
    <w:link w:val="30"/>
    <w:rsid w:val="00F64B6F"/>
  </w:style>
  <w:style w:type="character" w:customStyle="1" w:styleId="30">
    <w:name w:val="Основной текст 3 Знак"/>
    <w:basedOn w:val="a0"/>
    <w:link w:val="3"/>
    <w:rsid w:val="00F64B6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rsid w:val="00F64B6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64B6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caption"/>
    <w:basedOn w:val="a"/>
    <w:next w:val="a"/>
    <w:qFormat/>
    <w:rsid w:val="00F64B6F"/>
    <w:pPr>
      <w:jc w:val="right"/>
    </w:pPr>
    <w:rPr>
      <w:b/>
      <w:sz w:val="32"/>
      <w:szCs w:val="20"/>
    </w:rPr>
  </w:style>
  <w:style w:type="character" w:customStyle="1" w:styleId="a8">
    <w:name w:val="Основной текст_"/>
    <w:qFormat/>
    <w:locked/>
    <w:rsid w:val="00F64B6F"/>
    <w:rPr>
      <w:spacing w:val="2"/>
      <w:sz w:val="25"/>
      <w:szCs w:val="25"/>
      <w:lang w:bidi="ar-SA"/>
    </w:rPr>
  </w:style>
  <w:style w:type="paragraph" w:styleId="a9">
    <w:name w:val="List Paragraph"/>
    <w:basedOn w:val="a"/>
    <w:uiPriority w:val="99"/>
    <w:qFormat/>
    <w:rsid w:val="00F64B6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7417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4179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"/>
    <w:basedOn w:val="a"/>
    <w:rsid w:val="008E1D24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Normal (Web)"/>
    <w:basedOn w:val="a"/>
    <w:uiPriority w:val="99"/>
    <w:unhideWhenUsed/>
    <w:rsid w:val="0061092C"/>
    <w:pPr>
      <w:spacing w:before="100" w:beforeAutospacing="1" w:after="100" w:afterAutospacing="1"/>
      <w:jc w:val="left"/>
    </w:pPr>
    <w:rPr>
      <w:sz w:val="24"/>
      <w:szCs w:val="24"/>
      <w:lang w:val="ru-RU"/>
    </w:rPr>
  </w:style>
  <w:style w:type="character" w:styleId="ad">
    <w:name w:val="Strong"/>
    <w:basedOn w:val="a0"/>
    <w:uiPriority w:val="22"/>
    <w:qFormat/>
    <w:rsid w:val="0061092C"/>
    <w:rPr>
      <w:b/>
      <w:bCs/>
    </w:rPr>
  </w:style>
  <w:style w:type="paragraph" w:customStyle="1" w:styleId="41">
    <w:name w:val="заголовок 4"/>
    <w:basedOn w:val="a"/>
    <w:next w:val="a"/>
    <w:uiPriority w:val="99"/>
    <w:rsid w:val="00D06476"/>
    <w:pPr>
      <w:keepNext/>
      <w:autoSpaceDE w:val="0"/>
      <w:autoSpaceDN w:val="0"/>
      <w:ind w:firstLine="1701"/>
    </w:pPr>
    <w:rPr>
      <w:rFonts w:ascii="Bookman Old Style" w:hAnsi="Bookman Old Style" w:cs="Bookman Old Style"/>
      <w:sz w:val="27"/>
      <w:szCs w:val="27"/>
    </w:rPr>
  </w:style>
  <w:style w:type="paragraph" w:customStyle="1" w:styleId="ae">
    <w:name w:val="Знак Знак Знак Знак Знак Знак Знак Знак Знак"/>
    <w:basedOn w:val="a"/>
    <w:rsid w:val="00910704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910704"/>
    <w:rPr>
      <w:rFonts w:ascii="Times New Roman" w:eastAsia="Times New Roman" w:hAnsi="Times New Roman" w:cs="Times New Roman"/>
      <w:b/>
      <w:sz w:val="38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B4634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4634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f1">
    <w:name w:val="footer"/>
    <w:basedOn w:val="a"/>
    <w:link w:val="af2"/>
    <w:uiPriority w:val="99"/>
    <w:unhideWhenUsed/>
    <w:rsid w:val="00B4634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46341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8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Єрмолова Надія Олександрівна</cp:lastModifiedBy>
  <cp:revision>16</cp:revision>
  <cp:lastPrinted>2025-05-26T07:59:00Z</cp:lastPrinted>
  <dcterms:created xsi:type="dcterms:W3CDTF">2025-05-14T17:15:00Z</dcterms:created>
  <dcterms:modified xsi:type="dcterms:W3CDTF">2025-06-02T07:40:00Z</dcterms:modified>
</cp:coreProperties>
</file>