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45279B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A2BEF"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600B57" w:rsidRPr="002142A0" w:rsidTr="00A32221">
        <w:tc>
          <w:tcPr>
            <w:tcW w:w="5387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875D54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875D54">
              <w:rPr>
                <w:sz w:val="28"/>
                <w:szCs w:val="28"/>
                <w:lang w:val="uk-UA"/>
              </w:rPr>
              <w:t xml:space="preserve"> 655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85057C" w:rsidTr="00A32221">
        <w:tc>
          <w:tcPr>
            <w:tcW w:w="5387" w:type="dxa"/>
            <w:shd w:val="clear" w:color="auto" w:fill="auto"/>
          </w:tcPr>
          <w:p w:rsidR="00600B57" w:rsidRPr="00D24578" w:rsidRDefault="00F36ED7" w:rsidP="0045279B">
            <w:pPr>
              <w:pStyle w:val="aa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24578">
              <w:rPr>
                <w:b/>
                <w:sz w:val="28"/>
                <w:szCs w:val="28"/>
                <w:lang w:val="uk-UA"/>
              </w:rPr>
              <w:t>Про розміщення об’єкт</w:t>
            </w:r>
            <w:r w:rsidR="007B1555">
              <w:rPr>
                <w:b/>
                <w:sz w:val="28"/>
                <w:szCs w:val="28"/>
                <w:lang w:val="uk-UA"/>
              </w:rPr>
              <w:t xml:space="preserve">ів </w:t>
            </w:r>
            <w:r w:rsidR="00DD099A">
              <w:rPr>
                <w:b/>
                <w:sz w:val="28"/>
                <w:szCs w:val="28"/>
                <w:lang w:val="uk-UA"/>
              </w:rPr>
              <w:t>сфери розваг (</w:t>
            </w:r>
            <w:proofErr w:type="spellStart"/>
            <w:r w:rsidR="0085057C">
              <w:rPr>
                <w:b/>
                <w:sz w:val="28"/>
                <w:szCs w:val="28"/>
                <w:lang w:val="uk-UA"/>
              </w:rPr>
              <w:t>електросамокати</w:t>
            </w:r>
            <w:proofErr w:type="spellEnd"/>
            <w:r w:rsidR="00DD099A">
              <w:rPr>
                <w:b/>
                <w:sz w:val="28"/>
                <w:szCs w:val="28"/>
                <w:lang w:val="uk-UA"/>
              </w:rPr>
              <w:t>)</w:t>
            </w:r>
            <w:r w:rsidR="00C53F4F">
              <w:rPr>
                <w:sz w:val="28"/>
                <w:szCs w:val="28"/>
                <w:lang w:val="uk-UA"/>
              </w:rPr>
              <w:t xml:space="preserve"> </w:t>
            </w:r>
            <w:r w:rsidR="0085057C" w:rsidRPr="0085057C">
              <w:rPr>
                <w:b/>
                <w:sz w:val="28"/>
                <w:szCs w:val="28"/>
                <w:lang w:val="uk-UA"/>
              </w:rPr>
              <w:t xml:space="preserve">для надання послуг з їх прокату </w:t>
            </w:r>
            <w:r w:rsidR="005D487F">
              <w:rPr>
                <w:b/>
                <w:sz w:val="28"/>
                <w:szCs w:val="28"/>
                <w:lang w:val="uk-UA"/>
              </w:rPr>
              <w:t>ФОП</w:t>
            </w:r>
            <w:r w:rsidR="00A32221">
              <w:rPr>
                <w:b/>
                <w:sz w:val="28"/>
                <w:szCs w:val="28"/>
                <w:lang w:val="uk-UA"/>
              </w:rPr>
              <w:t> </w:t>
            </w:r>
            <w:r w:rsidR="005D487F">
              <w:rPr>
                <w:b/>
                <w:sz w:val="28"/>
                <w:szCs w:val="28"/>
                <w:lang w:val="uk-UA"/>
              </w:rPr>
              <w:t>Липовий Вадим Сергійович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 </w:t>
            </w:r>
            <w:r w:rsidR="0085057C">
              <w:rPr>
                <w:b/>
                <w:sz w:val="28"/>
                <w:szCs w:val="28"/>
                <w:lang w:val="uk-UA"/>
              </w:rPr>
              <w:t>за 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адресами</w:t>
            </w:r>
            <w:r w:rsidR="00C92CEE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 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міст</w:t>
            </w:r>
            <w:r w:rsidR="00C92CEE">
              <w:rPr>
                <w:b/>
                <w:sz w:val="28"/>
                <w:szCs w:val="28"/>
                <w:lang w:val="uk-UA"/>
              </w:rPr>
              <w:t>і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 Суми</w:t>
            </w:r>
            <w:r w:rsidR="00C92CEE">
              <w:rPr>
                <w:b/>
                <w:sz w:val="28"/>
                <w:szCs w:val="28"/>
                <w:lang w:val="uk-UA"/>
              </w:rPr>
              <w:t xml:space="preserve">: </w:t>
            </w:r>
            <w:r w:rsidR="00701968">
              <w:rPr>
                <w:b/>
                <w:sz w:val="28"/>
                <w:szCs w:val="28"/>
                <w:lang w:val="uk-UA"/>
              </w:rPr>
              <w:t>вулиця 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Соборна</w:t>
            </w:r>
            <w:r w:rsidR="005F4200">
              <w:rPr>
                <w:b/>
                <w:sz w:val="28"/>
                <w:szCs w:val="28"/>
                <w:lang w:val="uk-UA"/>
              </w:rPr>
              <w:t xml:space="preserve"> 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(початок), площа Театральна,</w:t>
            </w:r>
            <w:r w:rsidR="008E25A7">
              <w:rPr>
                <w:b/>
                <w:sz w:val="28"/>
                <w:szCs w:val="28"/>
                <w:lang w:val="uk-UA"/>
              </w:rPr>
              <w:t xml:space="preserve"> </w:t>
            </w:r>
            <w:r w:rsidR="00A32221">
              <w:rPr>
                <w:b/>
                <w:sz w:val="28"/>
                <w:szCs w:val="28"/>
                <w:lang w:val="uk-UA"/>
              </w:rPr>
              <w:t>площа Покровська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 (біля </w:t>
            </w:r>
            <w:r w:rsidR="002D4D7B">
              <w:rPr>
                <w:b/>
                <w:sz w:val="28"/>
                <w:szCs w:val="28"/>
                <w:lang w:val="uk-UA"/>
              </w:rPr>
              <w:t>«</w:t>
            </w:r>
            <w:r w:rsidR="00701968" w:rsidRPr="00701968">
              <w:rPr>
                <w:b/>
                <w:sz w:val="28"/>
                <w:szCs w:val="28"/>
                <w:lang w:val="en-US"/>
              </w:rPr>
              <w:t>McDonald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’</w:t>
            </w:r>
            <w:r w:rsidR="00701968" w:rsidRPr="00701968">
              <w:rPr>
                <w:b/>
                <w:sz w:val="28"/>
                <w:szCs w:val="28"/>
                <w:lang w:val="en-US"/>
              </w:rPr>
              <w:t>s</w:t>
            </w:r>
            <w:r w:rsidR="002D4D7B">
              <w:rPr>
                <w:b/>
                <w:sz w:val="28"/>
                <w:szCs w:val="28"/>
                <w:lang w:val="uk-UA"/>
              </w:rPr>
              <w:t>»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), </w:t>
            </w:r>
            <w:r w:rsidR="00A32221" w:rsidRPr="00701968">
              <w:rPr>
                <w:b/>
                <w:sz w:val="28"/>
                <w:szCs w:val="28"/>
                <w:lang w:val="uk-UA"/>
              </w:rPr>
              <w:t>вулиця Харківська (біля</w:t>
            </w:r>
            <w:r w:rsidR="00A32221">
              <w:rPr>
                <w:b/>
                <w:sz w:val="28"/>
                <w:szCs w:val="28"/>
                <w:lang w:val="uk-UA"/>
              </w:rPr>
              <w:t xml:space="preserve"> ТЦ </w:t>
            </w:r>
            <w:r w:rsidR="00A32221" w:rsidRPr="00701968">
              <w:rPr>
                <w:b/>
                <w:sz w:val="28"/>
                <w:szCs w:val="28"/>
                <w:lang w:val="uk-UA"/>
              </w:rPr>
              <w:t>«Мануфактура»),</w:t>
            </w:r>
            <w:r w:rsidR="00A3222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вулиця 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Комбрига Євгена </w:t>
            </w:r>
            <w:proofErr w:type="spellStart"/>
            <w:r w:rsidR="00C92CEE">
              <w:rPr>
                <w:b/>
                <w:sz w:val="28"/>
                <w:szCs w:val="28"/>
                <w:lang w:val="uk-UA"/>
              </w:rPr>
              <w:t>К</w:t>
            </w:r>
            <w:r w:rsidR="00C53F4F">
              <w:rPr>
                <w:b/>
                <w:sz w:val="28"/>
                <w:szCs w:val="28"/>
                <w:lang w:val="uk-UA"/>
              </w:rPr>
              <w:t>оростельова</w:t>
            </w:r>
            <w:proofErr w:type="spellEnd"/>
            <w:r w:rsidR="0085057C">
              <w:rPr>
                <w:b/>
                <w:sz w:val="28"/>
                <w:szCs w:val="28"/>
                <w:lang w:val="uk-UA"/>
              </w:rPr>
              <w:t xml:space="preserve"> (вхід до міського парку культури та відпочинку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 ім</w:t>
            </w:r>
            <w:r w:rsidR="0085057C">
              <w:rPr>
                <w:b/>
                <w:sz w:val="28"/>
                <w:szCs w:val="28"/>
                <w:lang w:val="uk-UA"/>
              </w:rPr>
              <w:t>ені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 І.М.</w:t>
            </w:r>
            <w:r w:rsidR="00A32221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="00C53F4F">
              <w:rPr>
                <w:b/>
                <w:sz w:val="28"/>
                <w:szCs w:val="28"/>
                <w:lang w:val="uk-UA"/>
              </w:rPr>
              <w:t>Кожедуба</w:t>
            </w:r>
            <w:proofErr w:type="spellEnd"/>
            <w:r w:rsidR="00C53F4F">
              <w:rPr>
                <w:b/>
                <w:sz w:val="28"/>
                <w:szCs w:val="28"/>
                <w:lang w:val="uk-UA"/>
              </w:rPr>
              <w:t>)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, вулиця Харківська,</w:t>
            </w:r>
            <w:r w:rsidR="0085057C">
              <w:rPr>
                <w:b/>
                <w:sz w:val="28"/>
                <w:szCs w:val="28"/>
                <w:lang w:val="uk-UA"/>
              </w:rPr>
              <w:t> 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24 </w:t>
            </w:r>
          </w:p>
        </w:tc>
      </w:tr>
    </w:tbl>
    <w:p w:rsidR="00375809" w:rsidRPr="00C53F4F" w:rsidRDefault="0037580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F422D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A32221">
        <w:rPr>
          <w:sz w:val="28"/>
          <w:szCs w:val="28"/>
          <w:lang w:val="uk-UA"/>
        </w:rPr>
        <w:t>11</w:t>
      </w:r>
      <w:r w:rsidR="005D487F">
        <w:rPr>
          <w:sz w:val="28"/>
          <w:szCs w:val="28"/>
          <w:lang w:val="uk-UA"/>
        </w:rPr>
        <w:t>.0</w:t>
      </w:r>
      <w:r w:rsidR="00A32221">
        <w:rPr>
          <w:sz w:val="28"/>
          <w:szCs w:val="28"/>
          <w:lang w:val="uk-UA"/>
        </w:rPr>
        <w:t>2</w:t>
      </w:r>
      <w:r w:rsidR="005D487F">
        <w:rPr>
          <w:sz w:val="28"/>
          <w:szCs w:val="28"/>
          <w:lang w:val="uk-UA"/>
        </w:rPr>
        <w:t>.</w:t>
      </w:r>
      <w:r w:rsidR="00CB0B18">
        <w:rPr>
          <w:sz w:val="28"/>
          <w:szCs w:val="28"/>
          <w:lang w:val="uk-UA"/>
        </w:rPr>
        <w:t>202</w:t>
      </w:r>
      <w:r w:rsidR="00FF371B">
        <w:rPr>
          <w:sz w:val="28"/>
          <w:szCs w:val="28"/>
          <w:lang w:val="uk-UA"/>
        </w:rPr>
        <w:t>6</w:t>
      </w:r>
      <w:r w:rsidR="00A32221">
        <w:rPr>
          <w:sz w:val="28"/>
          <w:szCs w:val="28"/>
          <w:lang w:val="uk-UA"/>
        </w:rPr>
        <w:br/>
      </w:r>
      <w:r w:rsidR="00990460">
        <w:rPr>
          <w:sz w:val="28"/>
          <w:szCs w:val="28"/>
          <w:lang w:val="uk-UA"/>
        </w:rPr>
        <w:t xml:space="preserve">№ </w:t>
      </w:r>
      <w:r w:rsidR="00A32221">
        <w:rPr>
          <w:sz w:val="28"/>
          <w:szCs w:val="28"/>
          <w:lang w:val="uk-UA"/>
        </w:rPr>
        <w:t>1765411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F422D7">
        <w:rPr>
          <w:sz w:val="28"/>
          <w:szCs w:val="28"/>
          <w:lang w:val="uk-UA"/>
        </w:rPr>
        <w:t xml:space="preserve">у 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F422D7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25646B">
        <w:rPr>
          <w:sz w:val="28"/>
          <w:lang w:val="uk-UA"/>
        </w:rPr>
        <w:br/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D487F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 рекомендації Комісії з організації сезонної, святкової виїзної торгівлі, надання послуг у</w:t>
      </w:r>
      <w:r w:rsidR="00C53F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сфері розваг та проведення</w:t>
      </w:r>
      <w:r w:rsidR="00C53F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ярмарків на території Сумської міської  територіальної громади (протокол засідання від </w:t>
      </w:r>
      <w:r w:rsidR="0045279B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45279B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212A8A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lastRenderedPageBreak/>
        <w:t>Погодити розміщення об’єкт</w:t>
      </w:r>
      <w:r w:rsidR="00C53F4F">
        <w:rPr>
          <w:color w:val="000000"/>
          <w:sz w:val="28"/>
          <w:szCs w:val="28"/>
          <w:lang w:val="uk-UA"/>
        </w:rPr>
        <w:t>ів</w:t>
      </w:r>
      <w:r w:rsidR="00C53F4F" w:rsidRPr="00D24578">
        <w:rPr>
          <w:b/>
          <w:sz w:val="28"/>
          <w:szCs w:val="28"/>
          <w:lang w:val="uk-UA"/>
        </w:rPr>
        <w:t xml:space="preserve"> </w:t>
      </w:r>
      <w:r w:rsidR="00DD099A" w:rsidRPr="00DD099A">
        <w:rPr>
          <w:sz w:val="28"/>
          <w:szCs w:val="28"/>
          <w:lang w:val="uk-UA"/>
        </w:rPr>
        <w:t>сфери розваг (</w:t>
      </w:r>
      <w:proofErr w:type="spellStart"/>
      <w:r w:rsidR="0085057C">
        <w:rPr>
          <w:sz w:val="28"/>
          <w:szCs w:val="28"/>
          <w:lang w:val="uk-UA"/>
        </w:rPr>
        <w:t>електросамокати</w:t>
      </w:r>
      <w:proofErr w:type="spellEnd"/>
      <w:r w:rsidR="0085057C">
        <w:rPr>
          <w:sz w:val="28"/>
          <w:szCs w:val="28"/>
          <w:lang w:val="uk-UA"/>
        </w:rPr>
        <w:t xml:space="preserve">) для надання послуг з їх прокату </w:t>
      </w:r>
      <w:r w:rsidR="00C92CEE">
        <w:rPr>
          <w:sz w:val="28"/>
          <w:szCs w:val="28"/>
          <w:lang w:val="uk-UA"/>
        </w:rPr>
        <w:t>ФОП Липовому</w:t>
      </w:r>
      <w:r w:rsidR="005D487F" w:rsidRPr="005D487F">
        <w:rPr>
          <w:sz w:val="28"/>
          <w:szCs w:val="28"/>
          <w:lang w:val="uk-UA"/>
        </w:rPr>
        <w:t xml:space="preserve"> Вадим</w:t>
      </w:r>
      <w:r w:rsidR="00C92CEE">
        <w:rPr>
          <w:sz w:val="28"/>
          <w:szCs w:val="28"/>
          <w:lang w:val="uk-UA"/>
        </w:rPr>
        <w:t>у</w:t>
      </w:r>
      <w:r w:rsidR="005D487F" w:rsidRPr="005D487F">
        <w:rPr>
          <w:sz w:val="28"/>
          <w:szCs w:val="28"/>
          <w:lang w:val="uk-UA"/>
        </w:rPr>
        <w:t xml:space="preserve"> Сергійович</w:t>
      </w:r>
      <w:r w:rsidR="00C92CEE">
        <w:rPr>
          <w:sz w:val="28"/>
          <w:szCs w:val="28"/>
          <w:lang w:val="uk-UA"/>
        </w:rPr>
        <w:t>у</w:t>
      </w:r>
      <w:r w:rsidR="005D487F" w:rsidRPr="00C53F4F">
        <w:rPr>
          <w:sz w:val="28"/>
          <w:szCs w:val="28"/>
          <w:lang w:val="uk-UA"/>
        </w:rPr>
        <w:t xml:space="preserve"> </w:t>
      </w:r>
      <w:r w:rsidR="00C53F4F" w:rsidRPr="00C53F4F">
        <w:rPr>
          <w:sz w:val="28"/>
          <w:szCs w:val="28"/>
          <w:lang w:val="uk-UA"/>
        </w:rPr>
        <w:t>за адресами</w:t>
      </w:r>
      <w:r w:rsidR="005D487F">
        <w:rPr>
          <w:sz w:val="28"/>
          <w:szCs w:val="28"/>
          <w:lang w:val="uk-UA"/>
        </w:rPr>
        <w:t xml:space="preserve"> в</w:t>
      </w:r>
      <w:r w:rsidR="00C53F4F" w:rsidRPr="00C53F4F">
        <w:rPr>
          <w:sz w:val="28"/>
          <w:szCs w:val="28"/>
          <w:lang w:val="uk-UA"/>
        </w:rPr>
        <w:t xml:space="preserve"> міст</w:t>
      </w:r>
      <w:r w:rsidR="005D487F">
        <w:rPr>
          <w:sz w:val="28"/>
          <w:szCs w:val="28"/>
          <w:lang w:val="uk-UA"/>
        </w:rPr>
        <w:t>і</w:t>
      </w:r>
      <w:r w:rsidR="00C53F4F" w:rsidRPr="00C53F4F">
        <w:rPr>
          <w:sz w:val="28"/>
          <w:szCs w:val="28"/>
          <w:lang w:val="uk-UA"/>
        </w:rPr>
        <w:t xml:space="preserve"> Суми</w:t>
      </w:r>
      <w:r w:rsidR="005D487F">
        <w:rPr>
          <w:sz w:val="28"/>
          <w:szCs w:val="28"/>
          <w:lang w:val="uk-UA"/>
        </w:rPr>
        <w:t>:</w:t>
      </w:r>
      <w:r w:rsidR="00C53F4F" w:rsidRPr="00C53F4F">
        <w:rPr>
          <w:sz w:val="28"/>
          <w:szCs w:val="28"/>
          <w:lang w:val="uk-UA"/>
        </w:rPr>
        <w:t xml:space="preserve"> </w:t>
      </w:r>
      <w:r w:rsidR="0025646B" w:rsidRPr="0025646B">
        <w:rPr>
          <w:sz w:val="28"/>
          <w:szCs w:val="28"/>
          <w:lang w:val="uk-UA"/>
        </w:rPr>
        <w:t>вулиця Соборна (початок), площа Театральна, площа Покровська (біля «</w:t>
      </w:r>
      <w:r w:rsidR="0025646B" w:rsidRPr="0025646B">
        <w:rPr>
          <w:sz w:val="28"/>
          <w:szCs w:val="28"/>
          <w:lang w:val="en-US"/>
        </w:rPr>
        <w:t>McDonald</w:t>
      </w:r>
      <w:r w:rsidR="0025646B" w:rsidRPr="0025646B">
        <w:rPr>
          <w:sz w:val="28"/>
          <w:szCs w:val="28"/>
          <w:lang w:val="uk-UA"/>
        </w:rPr>
        <w:t>’</w:t>
      </w:r>
      <w:r w:rsidR="0025646B" w:rsidRPr="0025646B">
        <w:rPr>
          <w:sz w:val="28"/>
          <w:szCs w:val="28"/>
          <w:lang w:val="en-US"/>
        </w:rPr>
        <w:t>s</w:t>
      </w:r>
      <w:r w:rsidR="0025646B" w:rsidRPr="0025646B">
        <w:rPr>
          <w:sz w:val="28"/>
          <w:szCs w:val="28"/>
          <w:lang w:val="uk-UA"/>
        </w:rPr>
        <w:t xml:space="preserve">»), вулиця Харківська (біля ТЦ «Мануфактура»), </w:t>
      </w:r>
      <w:r w:rsidR="00FF371B">
        <w:rPr>
          <w:sz w:val="28"/>
          <w:szCs w:val="28"/>
          <w:lang w:val="uk-UA"/>
        </w:rPr>
        <w:br/>
      </w:r>
      <w:r w:rsidR="0025646B" w:rsidRPr="0025646B">
        <w:rPr>
          <w:sz w:val="28"/>
          <w:szCs w:val="28"/>
          <w:lang w:val="uk-UA"/>
        </w:rPr>
        <w:t xml:space="preserve">вулиця Комбрига Євгена </w:t>
      </w:r>
      <w:proofErr w:type="spellStart"/>
      <w:r w:rsidR="0025646B" w:rsidRPr="0025646B">
        <w:rPr>
          <w:sz w:val="28"/>
          <w:szCs w:val="28"/>
          <w:lang w:val="uk-UA"/>
        </w:rPr>
        <w:t>Коростельова</w:t>
      </w:r>
      <w:proofErr w:type="spellEnd"/>
      <w:r w:rsidR="0025646B" w:rsidRPr="0025646B">
        <w:rPr>
          <w:sz w:val="28"/>
          <w:szCs w:val="28"/>
          <w:lang w:val="uk-UA"/>
        </w:rPr>
        <w:t xml:space="preserve"> (вхід до міського парку культури та відпочинку імені І.М. </w:t>
      </w:r>
      <w:proofErr w:type="spellStart"/>
      <w:r w:rsidR="0025646B" w:rsidRPr="0025646B">
        <w:rPr>
          <w:sz w:val="28"/>
          <w:szCs w:val="28"/>
          <w:lang w:val="uk-UA"/>
        </w:rPr>
        <w:t>Кожедуба</w:t>
      </w:r>
      <w:proofErr w:type="spellEnd"/>
      <w:r w:rsidR="0025646B" w:rsidRPr="0025646B">
        <w:rPr>
          <w:sz w:val="28"/>
          <w:szCs w:val="28"/>
          <w:lang w:val="uk-UA"/>
        </w:rPr>
        <w:t>), вулиця Харківська, 24</w:t>
      </w:r>
      <w:r w:rsidR="0025646B">
        <w:rPr>
          <w:sz w:val="28"/>
          <w:szCs w:val="28"/>
          <w:lang w:val="uk-UA"/>
        </w:rPr>
        <w:t>,</w:t>
      </w:r>
      <w:r w:rsidR="00487EC6" w:rsidRPr="00C53F4F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C53F4F">
        <w:rPr>
          <w:sz w:val="28"/>
          <w:szCs w:val="28"/>
          <w:lang w:val="uk-UA"/>
        </w:rPr>
        <w:t>заг</w:t>
      </w:r>
      <w:r w:rsidR="00093DE4" w:rsidRPr="00C53F4F">
        <w:rPr>
          <w:sz w:val="28"/>
          <w:szCs w:val="28"/>
          <w:lang w:val="uk-UA"/>
        </w:rPr>
        <w:t>альною</w:t>
      </w:r>
      <w:r w:rsidR="00466C9E">
        <w:rPr>
          <w:sz w:val="28"/>
          <w:szCs w:val="28"/>
          <w:lang w:val="uk-UA"/>
        </w:rPr>
        <w:t xml:space="preserve"> </w:t>
      </w:r>
      <w:r w:rsidR="00093DE4" w:rsidRPr="00487EC6">
        <w:rPr>
          <w:sz w:val="28"/>
          <w:szCs w:val="28"/>
          <w:lang w:val="uk-UA"/>
        </w:rPr>
        <w:t>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B61E14">
        <w:rPr>
          <w:sz w:val="28"/>
          <w:szCs w:val="28"/>
          <w:lang w:val="uk-UA"/>
        </w:rPr>
        <w:t>12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466C9E">
        <w:rPr>
          <w:sz w:val="28"/>
          <w:szCs w:val="28"/>
          <w:lang w:val="uk-UA"/>
        </w:rPr>
        <w:t xml:space="preserve"> </w:t>
      </w:r>
      <w:r w:rsidR="0025646B">
        <w:rPr>
          <w:sz w:val="28"/>
          <w:szCs w:val="28"/>
          <w:lang w:val="uk-UA"/>
        </w:rPr>
        <w:br/>
      </w:r>
      <w:r w:rsidR="00D036C9" w:rsidRPr="00487EC6">
        <w:rPr>
          <w:sz w:val="28"/>
          <w:szCs w:val="28"/>
          <w:lang w:val="uk-UA"/>
        </w:rPr>
        <w:t>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B61E14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A84590" w:rsidRPr="00487EC6">
        <w:rPr>
          <w:sz w:val="28"/>
          <w:szCs w:val="28"/>
          <w:lang w:val="uk-UA"/>
        </w:rPr>
        <w:t>0</w:t>
      </w:r>
      <w:r w:rsidR="0025646B">
        <w:rPr>
          <w:sz w:val="28"/>
          <w:szCs w:val="28"/>
          <w:lang w:val="uk-UA"/>
        </w:rPr>
        <w:t>3</w:t>
      </w:r>
      <w:r w:rsidR="001054AD" w:rsidRPr="00487EC6">
        <w:rPr>
          <w:sz w:val="28"/>
          <w:szCs w:val="28"/>
          <w:lang w:val="uk-UA"/>
        </w:rPr>
        <w:t>.202</w:t>
      </w:r>
      <w:r w:rsidR="0025646B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3C13C2" w:rsidRPr="00487EC6">
        <w:rPr>
          <w:sz w:val="28"/>
          <w:szCs w:val="28"/>
          <w:lang w:val="uk-UA"/>
        </w:rPr>
        <w:t>3</w:t>
      </w:r>
      <w:r w:rsidR="0025646B">
        <w:rPr>
          <w:sz w:val="28"/>
          <w:szCs w:val="28"/>
          <w:lang w:val="uk-UA"/>
        </w:rPr>
        <w:t>1</w:t>
      </w:r>
      <w:r w:rsidR="003C13C2" w:rsidRPr="00487EC6">
        <w:rPr>
          <w:sz w:val="28"/>
          <w:szCs w:val="28"/>
          <w:lang w:val="uk-UA"/>
        </w:rPr>
        <w:t>.</w:t>
      </w:r>
      <w:r w:rsidR="0025646B">
        <w:rPr>
          <w:sz w:val="28"/>
          <w:szCs w:val="28"/>
          <w:lang w:val="uk-UA"/>
        </w:rPr>
        <w:t>08</w:t>
      </w:r>
      <w:r w:rsidR="001054AD" w:rsidRPr="00487EC6">
        <w:rPr>
          <w:sz w:val="28"/>
          <w:szCs w:val="28"/>
          <w:lang w:val="uk-UA"/>
        </w:rPr>
        <w:t>.202</w:t>
      </w:r>
      <w:r w:rsidR="0025646B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AB61AE" w:rsidRPr="00AB61AE" w:rsidRDefault="00AB61AE" w:rsidP="00AB61AE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5F4200">
        <w:rPr>
          <w:color w:val="000000"/>
          <w:sz w:val="28"/>
          <w:szCs w:val="28"/>
          <w:lang w:val="uk-UA"/>
        </w:rPr>
        <w:t xml:space="preserve">                     </w:t>
      </w:r>
      <w:r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</w:t>
      </w:r>
      <w:r w:rsidR="00E244AB">
        <w:rPr>
          <w:color w:val="000000"/>
          <w:sz w:val="28"/>
          <w:szCs w:val="28"/>
          <w:lang w:val="uk-UA"/>
        </w:rPr>
        <w:t>надання послуг з прокату</w:t>
      </w:r>
      <w:r w:rsidRPr="00EE35A4">
        <w:rPr>
          <w:color w:val="000000"/>
          <w:sz w:val="28"/>
          <w:szCs w:val="28"/>
          <w:lang w:val="uk-UA"/>
        </w:rPr>
        <w:t xml:space="preserve"> </w:t>
      </w:r>
      <w:r w:rsidR="00DD099A" w:rsidRPr="00487EC6">
        <w:rPr>
          <w:color w:val="000000"/>
          <w:sz w:val="28"/>
          <w:szCs w:val="28"/>
          <w:lang w:val="uk-UA"/>
        </w:rPr>
        <w:t>об’єкт</w:t>
      </w:r>
      <w:r w:rsidR="00DD099A">
        <w:rPr>
          <w:color w:val="000000"/>
          <w:sz w:val="28"/>
          <w:szCs w:val="28"/>
          <w:lang w:val="uk-UA"/>
        </w:rPr>
        <w:t>ів</w:t>
      </w:r>
      <w:r w:rsidR="00DD099A" w:rsidRPr="00D24578">
        <w:rPr>
          <w:b/>
          <w:sz w:val="28"/>
          <w:szCs w:val="28"/>
          <w:lang w:val="uk-UA"/>
        </w:rPr>
        <w:t xml:space="preserve"> </w:t>
      </w:r>
      <w:r w:rsidR="00DD099A" w:rsidRPr="00DD099A">
        <w:rPr>
          <w:sz w:val="28"/>
          <w:szCs w:val="28"/>
          <w:lang w:val="uk-UA"/>
        </w:rPr>
        <w:t>сфери розваг 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DD099A" w:rsidRPr="00DD099A">
        <w:rPr>
          <w:sz w:val="28"/>
          <w:szCs w:val="28"/>
          <w:lang w:val="uk-UA"/>
        </w:rPr>
        <w:t>)</w:t>
      </w:r>
      <w:r w:rsidR="00DD099A">
        <w:rPr>
          <w:sz w:val="28"/>
          <w:szCs w:val="28"/>
          <w:lang w:val="uk-UA"/>
        </w:rPr>
        <w:t xml:space="preserve"> </w:t>
      </w:r>
      <w:r w:rsidR="00C53F4F" w:rsidRPr="00C53F4F">
        <w:rPr>
          <w:sz w:val="28"/>
          <w:szCs w:val="28"/>
          <w:lang w:val="uk-UA"/>
        </w:rPr>
        <w:t>за адресами</w:t>
      </w:r>
      <w:r w:rsidR="005D487F">
        <w:rPr>
          <w:sz w:val="28"/>
          <w:szCs w:val="28"/>
          <w:lang w:val="uk-UA"/>
        </w:rPr>
        <w:t xml:space="preserve"> в</w:t>
      </w:r>
      <w:r w:rsidR="00C53F4F" w:rsidRPr="00C53F4F">
        <w:rPr>
          <w:sz w:val="28"/>
          <w:szCs w:val="28"/>
          <w:lang w:val="uk-UA"/>
        </w:rPr>
        <w:t xml:space="preserve"> </w:t>
      </w:r>
      <w:r w:rsidR="00E244AB" w:rsidRPr="00C53F4F">
        <w:rPr>
          <w:sz w:val="28"/>
          <w:szCs w:val="28"/>
          <w:lang w:val="uk-UA"/>
        </w:rPr>
        <w:t>міст</w:t>
      </w:r>
      <w:r w:rsidR="005D487F">
        <w:rPr>
          <w:sz w:val="28"/>
          <w:szCs w:val="28"/>
          <w:lang w:val="uk-UA"/>
        </w:rPr>
        <w:t>і</w:t>
      </w:r>
      <w:r w:rsidR="00C92CEE">
        <w:rPr>
          <w:sz w:val="28"/>
          <w:szCs w:val="28"/>
          <w:lang w:val="uk-UA"/>
        </w:rPr>
        <w:t xml:space="preserve"> Суми</w:t>
      </w:r>
      <w:r w:rsidR="00C92CEE" w:rsidRPr="00C92CEE">
        <w:rPr>
          <w:sz w:val="28"/>
          <w:szCs w:val="28"/>
          <w:lang w:val="uk-UA"/>
        </w:rPr>
        <w:t xml:space="preserve">: </w:t>
      </w:r>
      <w:r w:rsidR="0025646B" w:rsidRPr="0025646B">
        <w:rPr>
          <w:sz w:val="28"/>
          <w:szCs w:val="28"/>
          <w:lang w:val="uk-UA"/>
        </w:rPr>
        <w:t>вулиця Соборна (початок), площа Театральна, площа Покровська (біля «</w:t>
      </w:r>
      <w:r w:rsidR="0025646B" w:rsidRPr="0025646B">
        <w:rPr>
          <w:sz w:val="28"/>
          <w:szCs w:val="28"/>
          <w:lang w:val="en-US"/>
        </w:rPr>
        <w:t>McDonald</w:t>
      </w:r>
      <w:r w:rsidR="0025646B" w:rsidRPr="0025646B">
        <w:rPr>
          <w:sz w:val="28"/>
          <w:szCs w:val="28"/>
          <w:lang w:val="uk-UA"/>
        </w:rPr>
        <w:t>’</w:t>
      </w:r>
      <w:r w:rsidR="0025646B" w:rsidRPr="0025646B">
        <w:rPr>
          <w:sz w:val="28"/>
          <w:szCs w:val="28"/>
          <w:lang w:val="en-US"/>
        </w:rPr>
        <w:t>s</w:t>
      </w:r>
      <w:r w:rsidR="0025646B" w:rsidRPr="0025646B">
        <w:rPr>
          <w:sz w:val="28"/>
          <w:szCs w:val="28"/>
          <w:lang w:val="uk-UA"/>
        </w:rPr>
        <w:t xml:space="preserve">»), вулиця Харківська (біля ТЦ «Мануфактура»), вулиця Комбрига Євгена </w:t>
      </w:r>
      <w:proofErr w:type="spellStart"/>
      <w:r w:rsidR="0025646B" w:rsidRPr="0025646B">
        <w:rPr>
          <w:sz w:val="28"/>
          <w:szCs w:val="28"/>
          <w:lang w:val="uk-UA"/>
        </w:rPr>
        <w:t>Коростельова</w:t>
      </w:r>
      <w:proofErr w:type="spellEnd"/>
      <w:r w:rsidR="0025646B" w:rsidRPr="0025646B">
        <w:rPr>
          <w:sz w:val="28"/>
          <w:szCs w:val="28"/>
          <w:lang w:val="uk-UA"/>
        </w:rPr>
        <w:t xml:space="preserve"> (вхід до міського парку культури та відпочинку імені І.М. </w:t>
      </w:r>
      <w:proofErr w:type="spellStart"/>
      <w:r w:rsidR="0025646B" w:rsidRPr="0025646B">
        <w:rPr>
          <w:sz w:val="28"/>
          <w:szCs w:val="28"/>
          <w:lang w:val="uk-UA"/>
        </w:rPr>
        <w:t>Кожедуба</w:t>
      </w:r>
      <w:proofErr w:type="spellEnd"/>
      <w:r w:rsidR="0025646B" w:rsidRPr="0025646B">
        <w:rPr>
          <w:sz w:val="28"/>
          <w:szCs w:val="28"/>
          <w:lang w:val="uk-UA"/>
        </w:rPr>
        <w:t>), вулиця Харківська, 24</w:t>
      </w:r>
      <w:r w:rsidR="0025646B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5D487F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E203A5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C92CEE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ФОП Липовому</w:t>
      </w:r>
      <w:r w:rsidRPr="005D487F">
        <w:rPr>
          <w:sz w:val="28"/>
          <w:szCs w:val="28"/>
          <w:lang w:val="uk-UA"/>
        </w:rPr>
        <w:t xml:space="preserve"> Вадим</w:t>
      </w:r>
      <w:r>
        <w:rPr>
          <w:sz w:val="28"/>
          <w:szCs w:val="28"/>
          <w:lang w:val="uk-UA"/>
        </w:rPr>
        <w:t>у</w:t>
      </w:r>
      <w:r w:rsidRPr="005D487F">
        <w:rPr>
          <w:sz w:val="28"/>
          <w:szCs w:val="28"/>
          <w:lang w:val="uk-UA"/>
        </w:rPr>
        <w:t xml:space="preserve"> Сергійович</w:t>
      </w:r>
      <w:r>
        <w:rPr>
          <w:sz w:val="28"/>
          <w:szCs w:val="28"/>
          <w:lang w:val="uk-UA"/>
        </w:rPr>
        <w:t>у</w:t>
      </w:r>
      <w:r w:rsidRPr="00C53F4F">
        <w:rPr>
          <w:sz w:val="28"/>
          <w:szCs w:val="28"/>
          <w:lang w:val="uk-UA"/>
        </w:rPr>
        <w:t xml:space="preserve"> </w:t>
      </w:r>
      <w:r w:rsidR="00795038">
        <w:rPr>
          <w:sz w:val="28"/>
          <w:szCs w:val="28"/>
          <w:lang w:val="uk-UA"/>
        </w:rPr>
        <w:t xml:space="preserve">розмістити </w:t>
      </w:r>
      <w:r w:rsidR="00081924" w:rsidRPr="00240EB6">
        <w:rPr>
          <w:color w:val="000000"/>
          <w:sz w:val="28"/>
          <w:szCs w:val="28"/>
          <w:lang w:val="uk-UA"/>
        </w:rPr>
        <w:t>об’єкт</w:t>
      </w:r>
      <w:r w:rsidR="004225EF">
        <w:rPr>
          <w:color w:val="000000"/>
          <w:sz w:val="28"/>
          <w:szCs w:val="28"/>
          <w:lang w:val="uk-UA"/>
        </w:rPr>
        <w:t>и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2B09B2" w:rsidRPr="00DD099A">
        <w:rPr>
          <w:sz w:val="28"/>
          <w:szCs w:val="28"/>
          <w:lang w:val="uk-UA"/>
        </w:rPr>
        <w:t xml:space="preserve">сфери розваг </w:t>
      </w:r>
      <w:r w:rsidR="00E244AB" w:rsidRPr="00DD099A">
        <w:rPr>
          <w:sz w:val="28"/>
          <w:szCs w:val="28"/>
          <w:lang w:val="uk-UA"/>
        </w:rPr>
        <w:t>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E244AB">
        <w:rPr>
          <w:sz w:val="28"/>
          <w:szCs w:val="28"/>
          <w:lang w:val="uk-UA"/>
        </w:rPr>
        <w:t>) для надання послуг з їх прокату</w:t>
      </w:r>
      <w:r w:rsidR="00DD099A">
        <w:rPr>
          <w:sz w:val="28"/>
          <w:szCs w:val="28"/>
          <w:lang w:val="uk-UA"/>
        </w:rPr>
        <w:t xml:space="preserve"> </w:t>
      </w:r>
      <w:r w:rsidR="004225EF" w:rsidRPr="00C53F4F">
        <w:rPr>
          <w:sz w:val="28"/>
          <w:szCs w:val="28"/>
          <w:lang w:val="uk-UA"/>
        </w:rPr>
        <w:t>за адресами</w:t>
      </w:r>
      <w:r w:rsidR="00E244AB" w:rsidRPr="00E244AB">
        <w:rPr>
          <w:sz w:val="28"/>
          <w:szCs w:val="28"/>
          <w:lang w:val="uk-UA"/>
        </w:rPr>
        <w:t xml:space="preserve"> </w:t>
      </w:r>
      <w:r w:rsidRPr="00C92CEE">
        <w:rPr>
          <w:sz w:val="28"/>
          <w:szCs w:val="28"/>
          <w:lang w:val="uk-UA"/>
        </w:rPr>
        <w:t xml:space="preserve">в місті Суми: </w:t>
      </w:r>
      <w:r w:rsidR="0025646B" w:rsidRPr="0025646B">
        <w:rPr>
          <w:sz w:val="28"/>
          <w:szCs w:val="28"/>
          <w:lang w:val="uk-UA"/>
        </w:rPr>
        <w:t>вулиця Соборна (початок), площа Театральна, площа Покровська (біля «</w:t>
      </w:r>
      <w:r w:rsidR="0025646B" w:rsidRPr="0025646B">
        <w:rPr>
          <w:sz w:val="28"/>
          <w:szCs w:val="28"/>
          <w:lang w:val="en-US"/>
        </w:rPr>
        <w:t>McDonald</w:t>
      </w:r>
      <w:r w:rsidR="0025646B" w:rsidRPr="0025646B">
        <w:rPr>
          <w:sz w:val="28"/>
          <w:szCs w:val="28"/>
          <w:lang w:val="uk-UA"/>
        </w:rPr>
        <w:t>’</w:t>
      </w:r>
      <w:r w:rsidR="0025646B" w:rsidRPr="0025646B">
        <w:rPr>
          <w:sz w:val="28"/>
          <w:szCs w:val="28"/>
          <w:lang w:val="en-US"/>
        </w:rPr>
        <w:t>s</w:t>
      </w:r>
      <w:r w:rsidR="0025646B" w:rsidRPr="0025646B">
        <w:rPr>
          <w:sz w:val="28"/>
          <w:szCs w:val="28"/>
          <w:lang w:val="uk-UA"/>
        </w:rPr>
        <w:t xml:space="preserve">»), вулиця Харківська (біля ТЦ «Мануфактура»), вулиця Комбрига Євгена </w:t>
      </w:r>
      <w:proofErr w:type="spellStart"/>
      <w:r w:rsidR="0025646B" w:rsidRPr="0025646B">
        <w:rPr>
          <w:sz w:val="28"/>
          <w:szCs w:val="28"/>
          <w:lang w:val="uk-UA"/>
        </w:rPr>
        <w:t>Коростельова</w:t>
      </w:r>
      <w:proofErr w:type="spellEnd"/>
      <w:r w:rsidR="0025646B" w:rsidRPr="0025646B">
        <w:rPr>
          <w:sz w:val="28"/>
          <w:szCs w:val="28"/>
          <w:lang w:val="uk-UA"/>
        </w:rPr>
        <w:t xml:space="preserve"> (вхід до міського парку культури та відпочинку імені І.М. </w:t>
      </w:r>
      <w:proofErr w:type="spellStart"/>
      <w:r w:rsidR="0025646B" w:rsidRPr="0025646B">
        <w:rPr>
          <w:sz w:val="28"/>
          <w:szCs w:val="28"/>
          <w:lang w:val="uk-UA"/>
        </w:rPr>
        <w:t>Кожедуба</w:t>
      </w:r>
      <w:proofErr w:type="spellEnd"/>
      <w:r w:rsidR="0025646B" w:rsidRPr="0025646B">
        <w:rPr>
          <w:sz w:val="28"/>
          <w:szCs w:val="28"/>
          <w:lang w:val="uk-UA"/>
        </w:rPr>
        <w:t>), вулиця Харківська, 24</w:t>
      </w:r>
      <w:r w:rsidR="00487EC6" w:rsidRPr="00C92CEE">
        <w:rPr>
          <w:color w:val="000000" w:themeColor="text1"/>
          <w:sz w:val="28"/>
          <w:szCs w:val="28"/>
          <w:lang w:val="uk-UA"/>
        </w:rPr>
        <w:t>,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2B09B2" w:rsidRDefault="00093DE4" w:rsidP="002B09B2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B411B0">
        <w:rPr>
          <w:b/>
          <w:sz w:val="28"/>
          <w:szCs w:val="28"/>
          <w:lang w:val="uk-UA"/>
        </w:rPr>
        <w:t>3.</w:t>
      </w:r>
      <w:r w:rsidR="00055621" w:rsidRPr="00B411B0">
        <w:rPr>
          <w:b/>
          <w:sz w:val="28"/>
          <w:szCs w:val="28"/>
          <w:lang w:val="uk-UA"/>
        </w:rPr>
        <w:t>2</w:t>
      </w:r>
      <w:r w:rsidRPr="00B411B0">
        <w:rPr>
          <w:b/>
          <w:sz w:val="28"/>
          <w:szCs w:val="28"/>
          <w:lang w:val="uk-UA"/>
        </w:rPr>
        <w:t xml:space="preserve">.1. </w:t>
      </w:r>
      <w:r w:rsidR="007B1555">
        <w:rPr>
          <w:b/>
          <w:sz w:val="28"/>
          <w:szCs w:val="28"/>
          <w:lang w:val="uk-UA"/>
        </w:rPr>
        <w:t xml:space="preserve"> </w:t>
      </w:r>
      <w:r w:rsidRPr="00B411B0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B411B0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B411B0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</w:t>
      </w:r>
      <w:r w:rsidR="002B09B2" w:rsidRPr="00487EC6">
        <w:rPr>
          <w:color w:val="000000"/>
          <w:sz w:val="28"/>
          <w:szCs w:val="28"/>
          <w:lang w:val="uk-UA"/>
        </w:rPr>
        <w:t>об’єкт</w:t>
      </w:r>
      <w:r w:rsidR="002B09B2">
        <w:rPr>
          <w:color w:val="000000"/>
          <w:sz w:val="28"/>
          <w:szCs w:val="28"/>
          <w:lang w:val="uk-UA"/>
        </w:rPr>
        <w:t>ів</w:t>
      </w:r>
      <w:r w:rsidR="002B09B2" w:rsidRPr="00D24578">
        <w:rPr>
          <w:b/>
          <w:sz w:val="28"/>
          <w:szCs w:val="28"/>
          <w:lang w:val="uk-UA"/>
        </w:rPr>
        <w:t xml:space="preserve"> </w:t>
      </w:r>
      <w:r w:rsidR="002B09B2" w:rsidRPr="00DD099A">
        <w:rPr>
          <w:sz w:val="28"/>
          <w:szCs w:val="28"/>
          <w:lang w:val="uk-UA"/>
        </w:rPr>
        <w:t xml:space="preserve">сфери розваг </w:t>
      </w:r>
      <w:r w:rsidR="00E244AB" w:rsidRPr="00DD099A">
        <w:rPr>
          <w:sz w:val="28"/>
          <w:szCs w:val="28"/>
          <w:lang w:val="uk-UA"/>
        </w:rPr>
        <w:t>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E244AB">
        <w:rPr>
          <w:sz w:val="28"/>
          <w:szCs w:val="28"/>
          <w:lang w:val="uk-UA"/>
        </w:rPr>
        <w:t>) для надання послуг з їх прокату</w:t>
      </w:r>
      <w:r w:rsidR="002B09B2">
        <w:rPr>
          <w:sz w:val="28"/>
          <w:szCs w:val="28"/>
          <w:lang w:val="uk-UA"/>
        </w:rPr>
        <w:t>;</w:t>
      </w:r>
    </w:p>
    <w:p w:rsidR="00093DE4" w:rsidRPr="00E27E85" w:rsidRDefault="00DD099A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="00093DE4" w:rsidRPr="00E27E85">
        <w:rPr>
          <w:b/>
          <w:sz w:val="28"/>
          <w:szCs w:val="28"/>
          <w:lang w:val="uk-UA"/>
        </w:rPr>
        <w:t>.2.</w:t>
      </w:r>
      <w:r w:rsidR="00093DE4"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 w:rsidR="00093DE4">
        <w:rPr>
          <w:sz w:val="28"/>
          <w:szCs w:val="28"/>
          <w:lang w:val="uk-UA"/>
        </w:rPr>
        <w:t xml:space="preserve"> з КП «</w:t>
      </w:r>
      <w:proofErr w:type="spellStart"/>
      <w:r w:rsidR="0045279B">
        <w:rPr>
          <w:sz w:val="28"/>
          <w:szCs w:val="28"/>
          <w:lang w:val="uk-UA"/>
        </w:rPr>
        <w:t>Спецсервіс</w:t>
      </w:r>
      <w:proofErr w:type="spellEnd"/>
      <w:r w:rsidR="00093DE4"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="00093DE4"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2B09B2" w:rsidRPr="00487EC6">
        <w:rPr>
          <w:color w:val="000000"/>
          <w:sz w:val="28"/>
          <w:szCs w:val="28"/>
          <w:lang w:val="uk-UA"/>
        </w:rPr>
        <w:t>об’єкт</w:t>
      </w:r>
      <w:r w:rsidR="002B09B2">
        <w:rPr>
          <w:color w:val="000000"/>
          <w:sz w:val="28"/>
          <w:szCs w:val="28"/>
          <w:lang w:val="uk-UA"/>
        </w:rPr>
        <w:t>ів</w:t>
      </w:r>
      <w:r w:rsidR="002B09B2" w:rsidRPr="00D24578">
        <w:rPr>
          <w:b/>
          <w:sz w:val="28"/>
          <w:szCs w:val="28"/>
          <w:lang w:val="uk-UA"/>
        </w:rPr>
        <w:t xml:space="preserve"> </w:t>
      </w:r>
      <w:r w:rsidR="002B09B2" w:rsidRPr="00DD099A">
        <w:rPr>
          <w:sz w:val="28"/>
          <w:szCs w:val="28"/>
          <w:lang w:val="uk-UA"/>
        </w:rPr>
        <w:t xml:space="preserve">сфери розваг </w:t>
      </w:r>
      <w:r w:rsidR="00E244AB" w:rsidRPr="00DD099A">
        <w:rPr>
          <w:sz w:val="28"/>
          <w:szCs w:val="28"/>
          <w:lang w:val="uk-UA"/>
        </w:rPr>
        <w:t>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E244AB">
        <w:rPr>
          <w:sz w:val="28"/>
          <w:szCs w:val="28"/>
          <w:lang w:val="uk-UA"/>
        </w:rPr>
        <w:t>) для надання послуг з їх прокату</w:t>
      </w:r>
      <w:r w:rsidR="002B09B2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7B1555">
        <w:rPr>
          <w:sz w:val="28"/>
          <w:szCs w:val="28"/>
          <w:lang w:val="uk-UA"/>
        </w:rPr>
        <w:t xml:space="preserve">об’єктів </w:t>
      </w:r>
      <w:r w:rsidR="002B09B2" w:rsidRPr="00DD099A">
        <w:rPr>
          <w:sz w:val="28"/>
          <w:szCs w:val="28"/>
          <w:lang w:val="uk-UA"/>
        </w:rPr>
        <w:t xml:space="preserve">сфери розваг </w:t>
      </w:r>
      <w:r w:rsidR="00E244AB" w:rsidRPr="00DD099A">
        <w:rPr>
          <w:sz w:val="28"/>
          <w:szCs w:val="28"/>
          <w:lang w:val="uk-UA"/>
        </w:rPr>
        <w:t>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E244AB">
        <w:rPr>
          <w:sz w:val="28"/>
          <w:szCs w:val="28"/>
          <w:lang w:val="uk-UA"/>
        </w:rPr>
        <w:t>) для надання послуг з їх прокату</w:t>
      </w:r>
      <w:r w:rsidR="00C514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 </w:t>
      </w:r>
      <w:r w:rsidR="00C92CEE">
        <w:rPr>
          <w:bCs/>
          <w:color w:val="000000"/>
          <w:sz w:val="28"/>
          <w:szCs w:val="28"/>
          <w:lang w:val="uk-UA"/>
        </w:rPr>
        <w:t xml:space="preserve">їх </w:t>
      </w:r>
      <w:r w:rsidR="008B795F">
        <w:rPr>
          <w:bCs/>
          <w:color w:val="000000"/>
          <w:sz w:val="28"/>
          <w:szCs w:val="28"/>
          <w:lang w:val="uk-UA"/>
        </w:rPr>
        <w:t>розміщення</w:t>
      </w:r>
      <w:r>
        <w:rPr>
          <w:bCs/>
          <w:color w:val="000000"/>
          <w:sz w:val="28"/>
          <w:szCs w:val="28"/>
          <w:lang w:val="uk-UA"/>
        </w:rPr>
        <w:t>, погоджен</w:t>
      </w:r>
      <w:r w:rsidR="00C51484">
        <w:rPr>
          <w:bCs/>
          <w:color w:val="000000"/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 </w:t>
      </w:r>
      <w:r w:rsidR="0025646B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B411B0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B411B0">
        <w:rPr>
          <w:b/>
          <w:sz w:val="28"/>
          <w:szCs w:val="28"/>
          <w:lang w:val="uk-UA"/>
        </w:rPr>
        <w:t>3.</w:t>
      </w:r>
      <w:r w:rsidR="005F4F5D" w:rsidRPr="00B411B0">
        <w:rPr>
          <w:b/>
          <w:sz w:val="28"/>
          <w:szCs w:val="28"/>
          <w:lang w:val="uk-UA"/>
        </w:rPr>
        <w:t>3</w:t>
      </w:r>
      <w:r w:rsidRPr="00B411B0">
        <w:rPr>
          <w:b/>
          <w:sz w:val="28"/>
          <w:szCs w:val="28"/>
          <w:lang w:val="uk-UA"/>
        </w:rPr>
        <w:t xml:space="preserve">.2. </w:t>
      </w:r>
      <w:r w:rsidRPr="00B411B0">
        <w:rPr>
          <w:sz w:val="28"/>
          <w:szCs w:val="28"/>
          <w:lang w:val="uk-UA"/>
        </w:rPr>
        <w:t>розміщення</w:t>
      </w:r>
      <w:r w:rsidRPr="00B411B0">
        <w:rPr>
          <w:b/>
          <w:sz w:val="28"/>
          <w:szCs w:val="28"/>
          <w:lang w:val="uk-UA"/>
        </w:rPr>
        <w:t xml:space="preserve"> </w:t>
      </w:r>
      <w:r w:rsidRPr="00B411B0">
        <w:rPr>
          <w:sz w:val="28"/>
          <w:szCs w:val="28"/>
          <w:lang w:val="uk-UA"/>
        </w:rPr>
        <w:t>урн для збору сміття 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Pr="00B411B0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92CEE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411B0">
        <w:rPr>
          <w:color w:val="000000"/>
          <w:sz w:val="28"/>
          <w:szCs w:val="28"/>
          <w:lang w:val="uk-UA"/>
        </w:rPr>
        <w:t>Директору КП</w:t>
      </w:r>
      <w:r w:rsidRPr="00CA421B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45279B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45279B">
        <w:rPr>
          <w:color w:val="000000"/>
          <w:sz w:val="28"/>
          <w:szCs w:val="28"/>
          <w:lang w:val="uk-UA"/>
        </w:rPr>
        <w:br/>
      </w:r>
      <w:r w:rsidR="00C92CEE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</w:t>
      </w:r>
      <w:r w:rsidR="00C92CEE">
        <w:rPr>
          <w:color w:val="000000"/>
          <w:sz w:val="28"/>
          <w:szCs w:val="28"/>
          <w:lang w:val="uk-UA"/>
        </w:rPr>
        <w:t xml:space="preserve">з </w:t>
      </w:r>
      <w:r w:rsidR="00C92CEE">
        <w:rPr>
          <w:sz w:val="28"/>
          <w:szCs w:val="28"/>
          <w:lang w:val="uk-UA"/>
        </w:rPr>
        <w:t xml:space="preserve">ФОП Липовим </w:t>
      </w:r>
      <w:r w:rsidR="00C92CEE" w:rsidRPr="005D487F">
        <w:rPr>
          <w:sz w:val="28"/>
          <w:szCs w:val="28"/>
          <w:lang w:val="uk-UA"/>
        </w:rPr>
        <w:t>Вадим</w:t>
      </w:r>
      <w:r w:rsidR="00C92CEE">
        <w:rPr>
          <w:sz w:val="28"/>
          <w:szCs w:val="28"/>
          <w:lang w:val="uk-UA"/>
        </w:rPr>
        <w:t>ом</w:t>
      </w:r>
      <w:r w:rsidR="00C92CEE" w:rsidRPr="005D487F">
        <w:rPr>
          <w:sz w:val="28"/>
          <w:szCs w:val="28"/>
          <w:lang w:val="uk-UA"/>
        </w:rPr>
        <w:t xml:space="preserve"> Сергійович</w:t>
      </w:r>
      <w:r w:rsidR="00C92CEE">
        <w:rPr>
          <w:sz w:val="28"/>
          <w:szCs w:val="28"/>
          <w:lang w:val="uk-UA"/>
        </w:rPr>
        <w:t>ем</w:t>
      </w:r>
      <w:r w:rsidR="00EA4756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6147A" w:rsidRDefault="0066147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45279B" w:rsidRDefault="0045279B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B411B0" w:rsidRPr="00931A4E" w:rsidRDefault="00B411B0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B411B0" w:rsidRDefault="00B411B0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B411B0" w:rsidRDefault="00B411B0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5279B" w:rsidRDefault="00452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92C" w:rsidRPr="00875D54" w:rsidRDefault="0030692C" w:rsidP="0030692C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875D54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0692C" w:rsidRPr="00875D54" w:rsidRDefault="0030692C" w:rsidP="0030692C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875D54" w:rsidRDefault="0030692C" w:rsidP="0030692C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875D54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875D54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875D54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875D54">
        <w:rPr>
          <w:color w:val="FFFFFF" w:themeColor="background1"/>
          <w:sz w:val="28"/>
          <w:szCs w:val="28"/>
          <w:lang w:val="uk-UA"/>
        </w:rPr>
        <w:t>«</w:t>
      </w:r>
      <w:r w:rsidR="003D3B16" w:rsidRPr="00875D54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об’єктів сфери розваг (</w:t>
      </w:r>
      <w:proofErr w:type="spellStart"/>
      <w:r w:rsidR="003D3B16" w:rsidRPr="00875D54">
        <w:rPr>
          <w:color w:val="FFFFFF" w:themeColor="background1"/>
          <w:sz w:val="28"/>
          <w:szCs w:val="28"/>
          <w:lang w:val="uk-UA"/>
        </w:rPr>
        <w:t>електросамокати</w:t>
      </w:r>
      <w:proofErr w:type="spellEnd"/>
      <w:r w:rsidR="003D3B16" w:rsidRPr="00875D54">
        <w:rPr>
          <w:color w:val="FFFFFF" w:themeColor="background1"/>
          <w:sz w:val="28"/>
          <w:szCs w:val="28"/>
          <w:lang w:val="uk-UA"/>
        </w:rPr>
        <w:t xml:space="preserve">) для надання послуг з їх прокату ФОП Липовий Вадим Сергійович за адресами в місті Суми: </w:t>
      </w:r>
      <w:r w:rsidR="00B06570" w:rsidRPr="00875D54">
        <w:rPr>
          <w:color w:val="FFFFFF" w:themeColor="background1"/>
          <w:sz w:val="28"/>
          <w:szCs w:val="28"/>
          <w:lang w:val="uk-UA"/>
        </w:rPr>
        <w:t>вулиця Соборна (початок),</w:t>
      </w:r>
      <w:r w:rsidRPr="00875D54">
        <w:rPr>
          <w:color w:val="FFFFFF" w:themeColor="background1"/>
          <w:sz w:val="28"/>
          <w:szCs w:val="28"/>
          <w:lang w:val="uk-UA"/>
        </w:rPr>
        <w:t xml:space="preserve"> </w:t>
      </w:r>
      <w:r w:rsidR="00B06570" w:rsidRPr="00875D54">
        <w:rPr>
          <w:color w:val="FFFFFF" w:themeColor="background1"/>
          <w:sz w:val="28"/>
          <w:szCs w:val="28"/>
          <w:lang w:val="uk-UA"/>
        </w:rPr>
        <w:t>площа Театральна, площа Покровська (біля «</w:t>
      </w:r>
      <w:r w:rsidR="00B06570" w:rsidRPr="00875D54">
        <w:rPr>
          <w:color w:val="FFFFFF" w:themeColor="background1"/>
          <w:sz w:val="28"/>
          <w:szCs w:val="28"/>
          <w:lang w:val="en-US"/>
        </w:rPr>
        <w:t>McDonald</w:t>
      </w:r>
      <w:r w:rsidR="00B06570" w:rsidRPr="00875D54">
        <w:rPr>
          <w:color w:val="FFFFFF" w:themeColor="background1"/>
          <w:sz w:val="28"/>
          <w:szCs w:val="28"/>
          <w:lang w:val="uk-UA"/>
        </w:rPr>
        <w:t>’</w:t>
      </w:r>
      <w:r w:rsidR="00B06570" w:rsidRPr="00875D54">
        <w:rPr>
          <w:color w:val="FFFFFF" w:themeColor="background1"/>
          <w:sz w:val="28"/>
          <w:szCs w:val="28"/>
          <w:lang w:val="en-US"/>
        </w:rPr>
        <w:t>s</w:t>
      </w:r>
      <w:r w:rsidR="00B06570" w:rsidRPr="00875D54">
        <w:rPr>
          <w:color w:val="FFFFFF" w:themeColor="background1"/>
          <w:sz w:val="28"/>
          <w:szCs w:val="28"/>
          <w:lang w:val="uk-UA"/>
        </w:rPr>
        <w:t xml:space="preserve">»), вулиця Харківська (біля ТЦ «Мануфактура»), вулиця Комбрига Євгена </w:t>
      </w:r>
      <w:proofErr w:type="spellStart"/>
      <w:r w:rsidR="00B06570" w:rsidRPr="00875D54">
        <w:rPr>
          <w:color w:val="FFFFFF" w:themeColor="background1"/>
          <w:sz w:val="28"/>
          <w:szCs w:val="28"/>
          <w:lang w:val="uk-UA"/>
        </w:rPr>
        <w:t>Коростельова</w:t>
      </w:r>
      <w:proofErr w:type="spellEnd"/>
      <w:r w:rsidR="00B06570" w:rsidRPr="00875D54">
        <w:rPr>
          <w:color w:val="FFFFFF" w:themeColor="background1"/>
          <w:sz w:val="28"/>
          <w:szCs w:val="28"/>
          <w:lang w:val="uk-UA"/>
        </w:rPr>
        <w:t xml:space="preserve"> (вхід до міського парку культури та відпочинку імені І.М. </w:t>
      </w:r>
      <w:proofErr w:type="spellStart"/>
      <w:r w:rsidR="00B06570" w:rsidRPr="00875D54">
        <w:rPr>
          <w:color w:val="FFFFFF" w:themeColor="background1"/>
          <w:sz w:val="28"/>
          <w:szCs w:val="28"/>
          <w:lang w:val="uk-UA"/>
        </w:rPr>
        <w:t>Кожедуба</w:t>
      </w:r>
      <w:proofErr w:type="spellEnd"/>
      <w:r w:rsidR="00B06570" w:rsidRPr="00875D54">
        <w:rPr>
          <w:color w:val="FFFFFF" w:themeColor="background1"/>
          <w:sz w:val="28"/>
          <w:szCs w:val="28"/>
          <w:lang w:val="uk-UA"/>
        </w:rPr>
        <w:t>), вулиця Харківська, 24</w:t>
      </w:r>
      <w:r w:rsidR="00EA4756" w:rsidRPr="00875D54">
        <w:rPr>
          <w:color w:val="FFFFFF" w:themeColor="background1"/>
          <w:sz w:val="28"/>
          <w:szCs w:val="28"/>
          <w:lang w:val="uk-UA"/>
        </w:rPr>
        <w:t>»</w:t>
      </w:r>
      <w:r w:rsidRPr="00875D54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875D54" w:rsidRDefault="00C4179B" w:rsidP="0030692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875D54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875D54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2551"/>
      </w:tblGrid>
      <w:tr w:rsidR="00875D54" w:rsidRPr="00875D54" w:rsidTr="00EA4756">
        <w:tc>
          <w:tcPr>
            <w:tcW w:w="4820" w:type="dxa"/>
          </w:tcPr>
          <w:p w:rsidR="00EA4756" w:rsidRPr="00875D54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875D54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875D54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875D54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A5748" w:rsidRPr="00875D54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A5748" w:rsidRPr="00875D54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75D54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875D54" w:rsidRPr="00875D54" w:rsidTr="00EA4756">
        <w:tc>
          <w:tcPr>
            <w:tcW w:w="4820" w:type="dxa"/>
          </w:tcPr>
          <w:p w:rsidR="001B0302" w:rsidRPr="00875D54" w:rsidRDefault="00004D39" w:rsidP="00B0657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8F4086" w:rsidRPr="00875D54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875D54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  <w:r w:rsidR="00E133DD" w:rsidRPr="00875D54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B06570" w:rsidRPr="00875D54">
              <w:rPr>
                <w:color w:val="FFFFFF" w:themeColor="background1"/>
                <w:sz w:val="28"/>
                <w:szCs w:val="28"/>
                <w:lang w:val="uk-UA"/>
              </w:rPr>
              <w:br/>
            </w:r>
            <w:r w:rsidR="006A5748" w:rsidRPr="00875D54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  <w:r w:rsidR="00B06570" w:rsidRPr="00875D54">
              <w:rPr>
                <w:color w:val="FFFFFF" w:themeColor="background1"/>
                <w:sz w:val="28"/>
                <w:szCs w:val="28"/>
                <w:lang w:val="uk-UA"/>
              </w:rPr>
              <w:br/>
            </w:r>
            <w:r w:rsidR="006A5748" w:rsidRPr="00875D54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</w:p>
        </w:tc>
        <w:tc>
          <w:tcPr>
            <w:tcW w:w="2126" w:type="dxa"/>
          </w:tcPr>
          <w:p w:rsidR="006A5748" w:rsidRPr="00875D54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E133DD" w:rsidRPr="00875D54" w:rsidRDefault="00E133DD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16" w:rsidRPr="00875D54" w:rsidRDefault="003D3B16" w:rsidP="00E133D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75D54" w:rsidRDefault="00E133DD" w:rsidP="00E133D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  <w:p w:rsidR="00E133DD" w:rsidRPr="00875D54" w:rsidRDefault="00E133DD" w:rsidP="00E133D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133DD" w:rsidRPr="00875D54" w:rsidRDefault="00E133DD" w:rsidP="00E133D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75D54" w:rsidRPr="00875D54" w:rsidTr="00EA4756">
        <w:tc>
          <w:tcPr>
            <w:tcW w:w="4820" w:type="dxa"/>
          </w:tcPr>
          <w:p w:rsidR="006A5748" w:rsidRPr="00875D54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875D54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875D54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A5748" w:rsidRPr="00875D54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A5748" w:rsidRPr="00875D54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75D54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875D54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75D54" w:rsidRPr="00875D54" w:rsidTr="00EA4756">
        <w:tc>
          <w:tcPr>
            <w:tcW w:w="4820" w:type="dxa"/>
          </w:tcPr>
          <w:p w:rsidR="006A5748" w:rsidRPr="00875D54" w:rsidRDefault="00B0657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E570D" w:rsidRPr="00875D54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правового </w:t>
            </w:r>
            <w:r w:rsidR="006A5748" w:rsidRPr="00875D54">
              <w:rPr>
                <w:color w:val="FFFFFF" w:themeColor="background1"/>
                <w:sz w:val="28"/>
                <w:szCs w:val="28"/>
                <w:lang w:val="uk-UA"/>
              </w:rPr>
              <w:t>управління</w:t>
            </w:r>
          </w:p>
          <w:p w:rsidR="006A5748" w:rsidRPr="00875D54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875D54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A5748" w:rsidRPr="00875D54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A5748" w:rsidRPr="00875D54" w:rsidRDefault="00004D39" w:rsidP="00F462E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B06570" w:rsidRPr="00875D54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F462EC" w:rsidRPr="00875D54">
              <w:rPr>
                <w:color w:val="FFFFFF" w:themeColor="background1"/>
                <w:sz w:val="28"/>
                <w:szCs w:val="28"/>
                <w:lang w:val="uk-UA"/>
              </w:rPr>
              <w:t>Бойко</w:t>
            </w:r>
          </w:p>
        </w:tc>
      </w:tr>
      <w:tr w:rsidR="006A5748" w:rsidRPr="00875D54" w:rsidTr="00EA4756">
        <w:tc>
          <w:tcPr>
            <w:tcW w:w="4820" w:type="dxa"/>
          </w:tcPr>
          <w:p w:rsidR="006A5748" w:rsidRPr="00875D54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A5748" w:rsidRPr="00875D54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2126" w:type="dxa"/>
          </w:tcPr>
          <w:p w:rsidR="006A5748" w:rsidRPr="00875D54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A5748" w:rsidRPr="00875D54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75D54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875D5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2A4482" w:rsidRPr="00875D54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875D54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133DD" w:rsidRPr="00875D54" w:rsidRDefault="00E133D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133DD" w:rsidRPr="00875D54" w:rsidRDefault="00E133D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0692C" w:rsidRPr="00875D54" w:rsidRDefault="0030692C" w:rsidP="0030692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75D5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0692C" w:rsidRPr="00875D54" w:rsidRDefault="0030692C" w:rsidP="0030692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75D5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0692C" w:rsidRPr="00875D54" w:rsidRDefault="0030692C" w:rsidP="0030692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75D5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30692C" w:rsidRPr="00875D54" w:rsidRDefault="0030692C" w:rsidP="0030692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0692C" w:rsidRPr="00875D54" w:rsidRDefault="0030692C" w:rsidP="0030692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0692C" w:rsidRPr="00875D54" w:rsidRDefault="0030692C" w:rsidP="0030692C">
      <w:pPr>
        <w:shd w:val="clear" w:color="auto" w:fill="FFFFFF" w:themeFill="background1"/>
        <w:jc w:val="both"/>
        <w:rPr>
          <w:color w:val="FFFFFF" w:themeColor="background1"/>
        </w:rPr>
      </w:pPr>
      <w:r w:rsidRPr="00875D54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30692C" w:rsidRPr="00875D54" w:rsidRDefault="0030692C" w:rsidP="0030692C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E133DD" w:rsidRDefault="00E133DD" w:rsidP="006F6A55">
      <w:pPr>
        <w:jc w:val="both"/>
        <w:rPr>
          <w:sz w:val="28"/>
          <w:szCs w:val="28"/>
          <w:lang w:val="uk-UA"/>
        </w:rPr>
      </w:pPr>
    </w:p>
    <w:p w:rsidR="006F6A55" w:rsidRDefault="006F6A55" w:rsidP="00931A4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F6A55" w:rsidRDefault="006F6A55" w:rsidP="006F6A55">
      <w:pPr>
        <w:jc w:val="both"/>
        <w:rPr>
          <w:sz w:val="28"/>
          <w:szCs w:val="28"/>
          <w:lang w:val="uk-UA"/>
        </w:rPr>
      </w:pPr>
    </w:p>
    <w:p w:rsidR="00DA5339" w:rsidRDefault="00DA5339" w:rsidP="006F6A55"/>
    <w:sectPr w:rsidR="00DA5339" w:rsidSect="00EA4756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4D39"/>
    <w:rsid w:val="00014010"/>
    <w:rsid w:val="00020001"/>
    <w:rsid w:val="000243AB"/>
    <w:rsid w:val="00030CBA"/>
    <w:rsid w:val="00030F9F"/>
    <w:rsid w:val="00032C2F"/>
    <w:rsid w:val="000363D2"/>
    <w:rsid w:val="000406D3"/>
    <w:rsid w:val="00040C44"/>
    <w:rsid w:val="000421AA"/>
    <w:rsid w:val="000428E9"/>
    <w:rsid w:val="00044EE8"/>
    <w:rsid w:val="00047AFF"/>
    <w:rsid w:val="00047D77"/>
    <w:rsid w:val="00055621"/>
    <w:rsid w:val="00055FBD"/>
    <w:rsid w:val="000571B3"/>
    <w:rsid w:val="00060803"/>
    <w:rsid w:val="00076D8F"/>
    <w:rsid w:val="00081783"/>
    <w:rsid w:val="00081924"/>
    <w:rsid w:val="00083AF4"/>
    <w:rsid w:val="000869A3"/>
    <w:rsid w:val="00093DE4"/>
    <w:rsid w:val="000B3505"/>
    <w:rsid w:val="000B75AD"/>
    <w:rsid w:val="000C1AAA"/>
    <w:rsid w:val="000C2C75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26606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1E2D"/>
    <w:rsid w:val="001740CC"/>
    <w:rsid w:val="00175281"/>
    <w:rsid w:val="001754BC"/>
    <w:rsid w:val="00176193"/>
    <w:rsid w:val="0018308C"/>
    <w:rsid w:val="00191444"/>
    <w:rsid w:val="00191CA6"/>
    <w:rsid w:val="001A1B55"/>
    <w:rsid w:val="001A2BEB"/>
    <w:rsid w:val="001A3BD7"/>
    <w:rsid w:val="001B0302"/>
    <w:rsid w:val="001B03B5"/>
    <w:rsid w:val="001B1DF7"/>
    <w:rsid w:val="001B5E8D"/>
    <w:rsid w:val="001B7FAC"/>
    <w:rsid w:val="001C3A9B"/>
    <w:rsid w:val="001D5543"/>
    <w:rsid w:val="001E071C"/>
    <w:rsid w:val="001E38ED"/>
    <w:rsid w:val="001F1E8D"/>
    <w:rsid w:val="001F2F38"/>
    <w:rsid w:val="00200C2F"/>
    <w:rsid w:val="00203882"/>
    <w:rsid w:val="00204FD1"/>
    <w:rsid w:val="00206B1F"/>
    <w:rsid w:val="00206CAD"/>
    <w:rsid w:val="00207DA9"/>
    <w:rsid w:val="00212A8A"/>
    <w:rsid w:val="00215436"/>
    <w:rsid w:val="00215D3F"/>
    <w:rsid w:val="00222091"/>
    <w:rsid w:val="002347E2"/>
    <w:rsid w:val="00234AD2"/>
    <w:rsid w:val="00236DE0"/>
    <w:rsid w:val="00240EB6"/>
    <w:rsid w:val="0025368F"/>
    <w:rsid w:val="0025646B"/>
    <w:rsid w:val="00270BE6"/>
    <w:rsid w:val="00277013"/>
    <w:rsid w:val="0027704F"/>
    <w:rsid w:val="002855A9"/>
    <w:rsid w:val="0029132D"/>
    <w:rsid w:val="00293EBA"/>
    <w:rsid w:val="00295FE3"/>
    <w:rsid w:val="002A4482"/>
    <w:rsid w:val="002B09B2"/>
    <w:rsid w:val="002B3C02"/>
    <w:rsid w:val="002C3B2B"/>
    <w:rsid w:val="002D4D7B"/>
    <w:rsid w:val="002D5FCF"/>
    <w:rsid w:val="002D7478"/>
    <w:rsid w:val="002E48DF"/>
    <w:rsid w:val="002F2694"/>
    <w:rsid w:val="002F3CF9"/>
    <w:rsid w:val="002F6604"/>
    <w:rsid w:val="0030692C"/>
    <w:rsid w:val="00312A71"/>
    <w:rsid w:val="00330687"/>
    <w:rsid w:val="00336A78"/>
    <w:rsid w:val="00336B58"/>
    <w:rsid w:val="00353FA1"/>
    <w:rsid w:val="0035609D"/>
    <w:rsid w:val="0035712B"/>
    <w:rsid w:val="0037565C"/>
    <w:rsid w:val="00375809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D3B16"/>
    <w:rsid w:val="003E1528"/>
    <w:rsid w:val="003E49FA"/>
    <w:rsid w:val="003F08A1"/>
    <w:rsid w:val="003F2829"/>
    <w:rsid w:val="004053FB"/>
    <w:rsid w:val="00414B11"/>
    <w:rsid w:val="00416255"/>
    <w:rsid w:val="004225EF"/>
    <w:rsid w:val="00422BCF"/>
    <w:rsid w:val="00424FCB"/>
    <w:rsid w:val="00426E0A"/>
    <w:rsid w:val="004309C1"/>
    <w:rsid w:val="004314F7"/>
    <w:rsid w:val="00435B21"/>
    <w:rsid w:val="0045279B"/>
    <w:rsid w:val="00453482"/>
    <w:rsid w:val="00460846"/>
    <w:rsid w:val="00466C9E"/>
    <w:rsid w:val="00470851"/>
    <w:rsid w:val="004817AD"/>
    <w:rsid w:val="00484378"/>
    <w:rsid w:val="004844CA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C5DCE"/>
    <w:rsid w:val="004D077C"/>
    <w:rsid w:val="004D46D0"/>
    <w:rsid w:val="004D5EC7"/>
    <w:rsid w:val="004D5F56"/>
    <w:rsid w:val="004D7F8C"/>
    <w:rsid w:val="004E7901"/>
    <w:rsid w:val="004F4DD8"/>
    <w:rsid w:val="00501D01"/>
    <w:rsid w:val="00503B33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5084D"/>
    <w:rsid w:val="0057577E"/>
    <w:rsid w:val="00577518"/>
    <w:rsid w:val="00580CEF"/>
    <w:rsid w:val="005861AD"/>
    <w:rsid w:val="00586F56"/>
    <w:rsid w:val="005B527D"/>
    <w:rsid w:val="005D3FBF"/>
    <w:rsid w:val="005D487F"/>
    <w:rsid w:val="005D4E2F"/>
    <w:rsid w:val="005E0D35"/>
    <w:rsid w:val="005E1D57"/>
    <w:rsid w:val="005E3744"/>
    <w:rsid w:val="005E454E"/>
    <w:rsid w:val="005E5886"/>
    <w:rsid w:val="005E6454"/>
    <w:rsid w:val="005E6D4A"/>
    <w:rsid w:val="005F0D09"/>
    <w:rsid w:val="005F4200"/>
    <w:rsid w:val="005F4F5D"/>
    <w:rsid w:val="00600B57"/>
    <w:rsid w:val="00602068"/>
    <w:rsid w:val="00604BE4"/>
    <w:rsid w:val="006107D6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147A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1968"/>
    <w:rsid w:val="00707A73"/>
    <w:rsid w:val="00710599"/>
    <w:rsid w:val="007121BD"/>
    <w:rsid w:val="007123D0"/>
    <w:rsid w:val="00713BCB"/>
    <w:rsid w:val="00717E29"/>
    <w:rsid w:val="00727E68"/>
    <w:rsid w:val="00741DFB"/>
    <w:rsid w:val="00753934"/>
    <w:rsid w:val="007727F7"/>
    <w:rsid w:val="00772B02"/>
    <w:rsid w:val="007804E3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1555"/>
    <w:rsid w:val="007B7300"/>
    <w:rsid w:val="007C1A3A"/>
    <w:rsid w:val="007C2073"/>
    <w:rsid w:val="007C3581"/>
    <w:rsid w:val="007C3BB4"/>
    <w:rsid w:val="007D1A6B"/>
    <w:rsid w:val="007D6726"/>
    <w:rsid w:val="007E2997"/>
    <w:rsid w:val="007E487B"/>
    <w:rsid w:val="008045F2"/>
    <w:rsid w:val="008115E4"/>
    <w:rsid w:val="00813931"/>
    <w:rsid w:val="00816602"/>
    <w:rsid w:val="008221FB"/>
    <w:rsid w:val="00830490"/>
    <w:rsid w:val="008310B4"/>
    <w:rsid w:val="00836474"/>
    <w:rsid w:val="0083789E"/>
    <w:rsid w:val="00840670"/>
    <w:rsid w:val="0085057C"/>
    <w:rsid w:val="00872232"/>
    <w:rsid w:val="00875D54"/>
    <w:rsid w:val="008852E6"/>
    <w:rsid w:val="008930DD"/>
    <w:rsid w:val="008B3C77"/>
    <w:rsid w:val="008B795F"/>
    <w:rsid w:val="008C3A0E"/>
    <w:rsid w:val="008E0956"/>
    <w:rsid w:val="008E25A7"/>
    <w:rsid w:val="008F3A6F"/>
    <w:rsid w:val="008F4086"/>
    <w:rsid w:val="008F5567"/>
    <w:rsid w:val="00901F1C"/>
    <w:rsid w:val="009022E1"/>
    <w:rsid w:val="00912BFF"/>
    <w:rsid w:val="00917317"/>
    <w:rsid w:val="00927DDD"/>
    <w:rsid w:val="00930AEC"/>
    <w:rsid w:val="00931A4E"/>
    <w:rsid w:val="009374BE"/>
    <w:rsid w:val="00944149"/>
    <w:rsid w:val="00946A7F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9F79BA"/>
    <w:rsid w:val="00A03A5E"/>
    <w:rsid w:val="00A06836"/>
    <w:rsid w:val="00A15A97"/>
    <w:rsid w:val="00A261BA"/>
    <w:rsid w:val="00A26B04"/>
    <w:rsid w:val="00A27CA5"/>
    <w:rsid w:val="00A32221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5D8D"/>
    <w:rsid w:val="00AB61AE"/>
    <w:rsid w:val="00AB6293"/>
    <w:rsid w:val="00AB687E"/>
    <w:rsid w:val="00AB6E92"/>
    <w:rsid w:val="00AB7DCE"/>
    <w:rsid w:val="00AC2DEE"/>
    <w:rsid w:val="00AC465E"/>
    <w:rsid w:val="00AC759C"/>
    <w:rsid w:val="00AC7C29"/>
    <w:rsid w:val="00AD002A"/>
    <w:rsid w:val="00AD2EEF"/>
    <w:rsid w:val="00AD3F4D"/>
    <w:rsid w:val="00AE2474"/>
    <w:rsid w:val="00AE24F1"/>
    <w:rsid w:val="00AE6D7A"/>
    <w:rsid w:val="00AE7455"/>
    <w:rsid w:val="00AF305B"/>
    <w:rsid w:val="00AF3FE8"/>
    <w:rsid w:val="00AF7DD3"/>
    <w:rsid w:val="00B00B8F"/>
    <w:rsid w:val="00B040FE"/>
    <w:rsid w:val="00B0514A"/>
    <w:rsid w:val="00B05FD8"/>
    <w:rsid w:val="00B06570"/>
    <w:rsid w:val="00B07AE8"/>
    <w:rsid w:val="00B119D7"/>
    <w:rsid w:val="00B207AA"/>
    <w:rsid w:val="00B252F2"/>
    <w:rsid w:val="00B34CC1"/>
    <w:rsid w:val="00B40738"/>
    <w:rsid w:val="00B411B0"/>
    <w:rsid w:val="00B441E3"/>
    <w:rsid w:val="00B47512"/>
    <w:rsid w:val="00B50039"/>
    <w:rsid w:val="00B60990"/>
    <w:rsid w:val="00B619F7"/>
    <w:rsid w:val="00B61E14"/>
    <w:rsid w:val="00B62E0C"/>
    <w:rsid w:val="00B645A5"/>
    <w:rsid w:val="00B66BF5"/>
    <w:rsid w:val="00B67BBF"/>
    <w:rsid w:val="00B70CEA"/>
    <w:rsid w:val="00B74400"/>
    <w:rsid w:val="00B9051A"/>
    <w:rsid w:val="00B93C69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320CC"/>
    <w:rsid w:val="00C352FF"/>
    <w:rsid w:val="00C41462"/>
    <w:rsid w:val="00C4179B"/>
    <w:rsid w:val="00C43F98"/>
    <w:rsid w:val="00C5141E"/>
    <w:rsid w:val="00C51484"/>
    <w:rsid w:val="00C534F4"/>
    <w:rsid w:val="00C53F4F"/>
    <w:rsid w:val="00C739E1"/>
    <w:rsid w:val="00C762E9"/>
    <w:rsid w:val="00C82851"/>
    <w:rsid w:val="00C92CEE"/>
    <w:rsid w:val="00C9503D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D5A49"/>
    <w:rsid w:val="00CE570D"/>
    <w:rsid w:val="00CF71CB"/>
    <w:rsid w:val="00D01E89"/>
    <w:rsid w:val="00D02878"/>
    <w:rsid w:val="00D036C9"/>
    <w:rsid w:val="00D1051E"/>
    <w:rsid w:val="00D14A45"/>
    <w:rsid w:val="00D15924"/>
    <w:rsid w:val="00D24578"/>
    <w:rsid w:val="00D35568"/>
    <w:rsid w:val="00D35F7F"/>
    <w:rsid w:val="00D50672"/>
    <w:rsid w:val="00D550B0"/>
    <w:rsid w:val="00D572D2"/>
    <w:rsid w:val="00D62F07"/>
    <w:rsid w:val="00D64AAC"/>
    <w:rsid w:val="00D65259"/>
    <w:rsid w:val="00D67AA7"/>
    <w:rsid w:val="00D72067"/>
    <w:rsid w:val="00D7403C"/>
    <w:rsid w:val="00D839C7"/>
    <w:rsid w:val="00D83EF5"/>
    <w:rsid w:val="00D84936"/>
    <w:rsid w:val="00D86D3E"/>
    <w:rsid w:val="00D92AFF"/>
    <w:rsid w:val="00DA5339"/>
    <w:rsid w:val="00DA5F23"/>
    <w:rsid w:val="00DA66C3"/>
    <w:rsid w:val="00DD0394"/>
    <w:rsid w:val="00DD099A"/>
    <w:rsid w:val="00DE0DBE"/>
    <w:rsid w:val="00DE6C8F"/>
    <w:rsid w:val="00DF415A"/>
    <w:rsid w:val="00DF7EDB"/>
    <w:rsid w:val="00E00DAC"/>
    <w:rsid w:val="00E011D1"/>
    <w:rsid w:val="00E021DB"/>
    <w:rsid w:val="00E0457F"/>
    <w:rsid w:val="00E048F1"/>
    <w:rsid w:val="00E06F1D"/>
    <w:rsid w:val="00E133DD"/>
    <w:rsid w:val="00E165F8"/>
    <w:rsid w:val="00E203A5"/>
    <w:rsid w:val="00E244AB"/>
    <w:rsid w:val="00E344F7"/>
    <w:rsid w:val="00E35AA4"/>
    <w:rsid w:val="00E35C36"/>
    <w:rsid w:val="00E40691"/>
    <w:rsid w:val="00E43609"/>
    <w:rsid w:val="00E43C39"/>
    <w:rsid w:val="00E47B35"/>
    <w:rsid w:val="00E50679"/>
    <w:rsid w:val="00E52954"/>
    <w:rsid w:val="00E6002E"/>
    <w:rsid w:val="00E60D06"/>
    <w:rsid w:val="00E61D6C"/>
    <w:rsid w:val="00E63FB4"/>
    <w:rsid w:val="00E665BE"/>
    <w:rsid w:val="00EA0504"/>
    <w:rsid w:val="00EA3F37"/>
    <w:rsid w:val="00EA4756"/>
    <w:rsid w:val="00EA757F"/>
    <w:rsid w:val="00ED04A5"/>
    <w:rsid w:val="00F000B1"/>
    <w:rsid w:val="00F071EA"/>
    <w:rsid w:val="00F10FC7"/>
    <w:rsid w:val="00F14FA8"/>
    <w:rsid w:val="00F34D54"/>
    <w:rsid w:val="00F359F6"/>
    <w:rsid w:val="00F36ED7"/>
    <w:rsid w:val="00F422D7"/>
    <w:rsid w:val="00F4379C"/>
    <w:rsid w:val="00F45063"/>
    <w:rsid w:val="00F462EC"/>
    <w:rsid w:val="00F51162"/>
    <w:rsid w:val="00F5268A"/>
    <w:rsid w:val="00F613F4"/>
    <w:rsid w:val="00F7620E"/>
    <w:rsid w:val="00F77361"/>
    <w:rsid w:val="00F825EF"/>
    <w:rsid w:val="00F9570D"/>
    <w:rsid w:val="00FA1102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  <w:rsid w:val="00FE7D3F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BD61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ED5A-D19C-475E-A380-5382E7B0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2026-03-09T12:34:00Z</cp:lastPrinted>
  <dcterms:created xsi:type="dcterms:W3CDTF">2026-02-12T09:47:00Z</dcterms:created>
  <dcterms:modified xsi:type="dcterms:W3CDTF">2026-03-09T12:35:00Z</dcterms:modified>
</cp:coreProperties>
</file>