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292"/>
      </w:tblGrid>
      <w:tr w:rsidR="00165241" w:rsidRPr="00D36636" w:rsidTr="009F22CA">
        <w:tc>
          <w:tcPr>
            <w:tcW w:w="3292" w:type="dxa"/>
          </w:tcPr>
          <w:p w:rsidR="0009787F" w:rsidRPr="003D7EE4" w:rsidRDefault="0009787F" w:rsidP="00E3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7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</w:t>
            </w:r>
          </w:p>
          <w:p w:rsidR="0009787F" w:rsidRPr="003D7EE4" w:rsidRDefault="005231E6" w:rsidP="00E3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7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рішення </w:t>
            </w:r>
            <w:r w:rsidR="00444375" w:rsidRPr="003D7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9787F" w:rsidRPr="003D7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иконавчого комітету</w:t>
            </w:r>
          </w:p>
          <w:p w:rsidR="004E5996" w:rsidRPr="00165241" w:rsidRDefault="0009787F" w:rsidP="00FD0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7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FD0A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30.04.2026</w:t>
            </w:r>
            <w:r w:rsidR="007538EB" w:rsidRPr="003D7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</w:t>
            </w:r>
            <w:r w:rsidRPr="001652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D0A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1147</w:t>
            </w:r>
            <w:r w:rsidRPr="001652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</w:t>
            </w:r>
          </w:p>
        </w:tc>
      </w:tr>
    </w:tbl>
    <w:p w:rsidR="00087F2B" w:rsidRDefault="00087F2B" w:rsidP="00087F2B">
      <w:pPr>
        <w:pStyle w:val="rvps6"/>
        <w:shd w:val="clear" w:color="auto" w:fill="FFFFFF"/>
        <w:tabs>
          <w:tab w:val="left" w:pos="9214"/>
        </w:tabs>
        <w:spacing w:before="0" w:beforeAutospacing="0" w:after="0" w:afterAutospacing="0"/>
        <w:ind w:right="3877"/>
        <w:jc w:val="center"/>
        <w:rPr>
          <w:rStyle w:val="rvts23"/>
          <w:b/>
          <w:bCs/>
          <w:sz w:val="28"/>
          <w:szCs w:val="28"/>
          <w:lang w:val="uk-UA"/>
        </w:rPr>
      </w:pPr>
    </w:p>
    <w:p w:rsidR="00087F2B" w:rsidRDefault="00087F2B" w:rsidP="00087F2B">
      <w:pPr>
        <w:pStyle w:val="2"/>
        <w:ind w:left="6480" w:firstLine="41"/>
        <w:jc w:val="center"/>
        <w:rPr>
          <w:lang w:val="uk-UA"/>
        </w:rPr>
      </w:pPr>
      <w:r>
        <w:rPr>
          <w:lang w:val="uk-UA"/>
        </w:rPr>
        <w:t>«Затверджено»</w:t>
      </w:r>
    </w:p>
    <w:p w:rsidR="00087F2B" w:rsidRPr="003D7EE4" w:rsidRDefault="00087F2B" w:rsidP="003D7EE4">
      <w:pPr>
        <w:pStyle w:val="2"/>
        <w:ind w:left="5040" w:firstLine="720"/>
        <w:rPr>
          <w:lang w:val="uk-UA"/>
        </w:rPr>
      </w:pPr>
      <w:r>
        <w:rPr>
          <w:lang w:val="uk-UA"/>
        </w:rPr>
        <w:t xml:space="preserve">рішенням </w:t>
      </w:r>
      <w:r w:rsidRPr="003D7EE4">
        <w:rPr>
          <w:lang w:val="uk-UA"/>
        </w:rPr>
        <w:t xml:space="preserve">виконавчого комітету </w:t>
      </w:r>
    </w:p>
    <w:p w:rsidR="00087F2B" w:rsidRDefault="00087F2B" w:rsidP="003D7EE4">
      <w:pPr>
        <w:pStyle w:val="2"/>
        <w:rPr>
          <w:lang w:val="uk-UA"/>
        </w:rPr>
      </w:pPr>
      <w:r w:rsidRPr="003D7EE4">
        <w:rPr>
          <w:lang w:val="uk-UA"/>
        </w:rPr>
        <w:tab/>
      </w:r>
      <w:r w:rsidRPr="003D7EE4">
        <w:rPr>
          <w:lang w:val="uk-UA"/>
        </w:rPr>
        <w:tab/>
      </w:r>
      <w:r w:rsidRPr="003D7EE4">
        <w:rPr>
          <w:lang w:val="uk-UA"/>
        </w:rPr>
        <w:tab/>
      </w:r>
      <w:r w:rsidRPr="003D7EE4">
        <w:rPr>
          <w:lang w:val="uk-UA"/>
        </w:rPr>
        <w:tab/>
      </w:r>
      <w:r w:rsidRPr="003D7EE4">
        <w:rPr>
          <w:lang w:val="uk-UA"/>
        </w:rPr>
        <w:tab/>
      </w:r>
      <w:r w:rsidRPr="003D7EE4">
        <w:rPr>
          <w:lang w:val="uk-UA"/>
        </w:rPr>
        <w:tab/>
      </w:r>
      <w:r w:rsidRPr="003D7EE4">
        <w:rPr>
          <w:lang w:val="uk-UA"/>
        </w:rPr>
        <w:tab/>
      </w:r>
      <w:r w:rsidRPr="003D7EE4">
        <w:rPr>
          <w:lang w:val="uk-UA"/>
        </w:rPr>
        <w:tab/>
      </w:r>
      <w:r w:rsidR="007538EB" w:rsidRPr="003D7EE4">
        <w:rPr>
          <w:lang w:val="uk-UA"/>
        </w:rPr>
        <w:t xml:space="preserve">від </w:t>
      </w:r>
      <w:r w:rsidR="00FD0ADE">
        <w:rPr>
          <w:lang w:val="uk-UA"/>
        </w:rPr>
        <w:t>30.04.2026</w:t>
      </w:r>
      <w:r w:rsidR="003D7EE4" w:rsidRPr="00FD0ADE">
        <w:rPr>
          <w:lang w:val="uk-UA"/>
        </w:rPr>
        <w:t xml:space="preserve"> </w:t>
      </w:r>
      <w:r w:rsidR="007538EB" w:rsidRPr="003D7EE4">
        <w:rPr>
          <w:lang w:val="uk-UA"/>
        </w:rPr>
        <w:t>№</w:t>
      </w:r>
      <w:r w:rsidR="00FD0ADE">
        <w:rPr>
          <w:lang w:val="uk-UA"/>
        </w:rPr>
        <w:t xml:space="preserve"> 1147</w:t>
      </w:r>
    </w:p>
    <w:p w:rsidR="00087F2B" w:rsidRDefault="00087F2B" w:rsidP="003D7EE4">
      <w:pPr>
        <w:pStyle w:val="rvps6"/>
        <w:spacing w:before="0" w:beforeAutospacing="0" w:after="450" w:afterAutospacing="0"/>
        <w:ind w:right="450"/>
        <w:rPr>
          <w:rStyle w:val="rvts23"/>
          <w:b/>
          <w:bCs/>
          <w:sz w:val="28"/>
          <w:szCs w:val="28"/>
          <w:lang w:val="uk-UA"/>
        </w:rPr>
      </w:pPr>
    </w:p>
    <w:p w:rsidR="004568B8" w:rsidRDefault="004568B8" w:rsidP="00E36E78">
      <w:pPr>
        <w:pStyle w:val="rvps6"/>
        <w:shd w:val="clear" w:color="auto" w:fill="FFFFFF"/>
        <w:spacing w:before="0" w:beforeAutospacing="0" w:after="450" w:afterAutospacing="0"/>
        <w:ind w:right="450"/>
        <w:jc w:val="center"/>
        <w:rPr>
          <w:b/>
          <w:bCs/>
          <w:sz w:val="28"/>
          <w:szCs w:val="28"/>
          <w:lang w:val="uk-UA"/>
        </w:rPr>
      </w:pPr>
      <w:r w:rsidRPr="00165241">
        <w:rPr>
          <w:rStyle w:val="rvts23"/>
          <w:b/>
          <w:bCs/>
          <w:sz w:val="28"/>
          <w:szCs w:val="28"/>
          <w:lang w:val="uk-UA"/>
        </w:rPr>
        <w:t>ПОРЯДОК</w:t>
      </w:r>
      <w:r w:rsidRPr="00165241">
        <w:rPr>
          <w:sz w:val="28"/>
          <w:szCs w:val="28"/>
          <w:lang w:val="uk-UA"/>
        </w:rPr>
        <w:br/>
      </w:r>
      <w:r w:rsidR="00835A26" w:rsidRPr="00165241">
        <w:rPr>
          <w:b/>
          <w:bCs/>
          <w:sz w:val="28"/>
          <w:szCs w:val="28"/>
          <w:lang w:val="uk-UA"/>
        </w:rPr>
        <w:t xml:space="preserve">розроблення та моніторингу реалізації </w:t>
      </w:r>
      <w:r w:rsidR="009F602F">
        <w:rPr>
          <w:b/>
          <w:bCs/>
          <w:sz w:val="28"/>
          <w:szCs w:val="28"/>
          <w:lang w:val="uk-UA"/>
        </w:rPr>
        <w:t>С</w:t>
      </w:r>
      <w:r w:rsidR="00835A26" w:rsidRPr="00165241">
        <w:rPr>
          <w:b/>
          <w:bCs/>
          <w:sz w:val="28"/>
          <w:szCs w:val="28"/>
          <w:lang w:val="uk-UA"/>
        </w:rPr>
        <w:t>ередньострокового плану пріоритетних публічних інвестицій</w:t>
      </w:r>
      <w:r w:rsidR="00FC3285" w:rsidRPr="00165241">
        <w:rPr>
          <w:b/>
          <w:bCs/>
          <w:sz w:val="28"/>
          <w:szCs w:val="28"/>
          <w:lang w:val="uk-UA"/>
        </w:rPr>
        <w:t xml:space="preserve"> Сумської міської територіальної громади</w:t>
      </w:r>
    </w:p>
    <w:p w:rsidR="009C5780" w:rsidRPr="00BD7C14" w:rsidRDefault="009C5780" w:rsidP="009C5780">
      <w:pPr>
        <w:pStyle w:val="rvps6"/>
        <w:shd w:val="clear" w:color="auto" w:fill="FFFFFF"/>
        <w:spacing w:before="0" w:beforeAutospacing="0" w:after="240" w:afterAutospacing="0"/>
        <w:ind w:right="450"/>
        <w:jc w:val="center"/>
        <w:rPr>
          <w:b/>
          <w:bCs/>
          <w:sz w:val="28"/>
          <w:szCs w:val="28"/>
          <w:lang w:val="uk-UA"/>
        </w:rPr>
      </w:pPr>
      <w:r w:rsidRPr="00BD7C14">
        <w:rPr>
          <w:b/>
          <w:bCs/>
          <w:sz w:val="28"/>
          <w:szCs w:val="28"/>
          <w:lang w:val="uk-UA"/>
        </w:rPr>
        <w:t>1. Загальні положення</w:t>
      </w:r>
    </w:p>
    <w:p w:rsidR="00FC3285" w:rsidRPr="00165241" w:rsidRDefault="00FC3285" w:rsidP="002D7D3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n404"/>
      <w:bookmarkEnd w:id="0"/>
      <w:r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9C5780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Цей Порядок </w:t>
      </w:r>
      <w:r w:rsidR="00835A26"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визначає механізм розроблення та моніторингу реалізації Середньострокового плану пріоритетних публічних інвестицій Сумської міської територіальної громади (далі - Порядок).</w:t>
      </w:r>
      <w:r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35A26" w:rsidRPr="00165241" w:rsidRDefault="009C5780" w:rsidP="002D7D38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bookmarkStart w:id="1" w:name="n591"/>
      <w:bookmarkEnd w:id="1"/>
      <w:r>
        <w:rPr>
          <w:sz w:val="28"/>
          <w:szCs w:val="28"/>
          <w:lang w:val="uk-UA"/>
        </w:rPr>
        <w:t>1.</w:t>
      </w:r>
      <w:r w:rsidR="002D7D38">
        <w:rPr>
          <w:sz w:val="28"/>
          <w:szCs w:val="28"/>
          <w:lang w:val="uk-UA"/>
        </w:rPr>
        <w:t>2.</w:t>
      </w:r>
      <w:r w:rsidR="00FC3285" w:rsidRPr="00165241">
        <w:rPr>
          <w:sz w:val="28"/>
          <w:szCs w:val="28"/>
          <w:lang w:val="uk-UA"/>
        </w:rPr>
        <w:t xml:space="preserve"> </w:t>
      </w:r>
      <w:r w:rsidR="00835A26" w:rsidRPr="00165241">
        <w:rPr>
          <w:sz w:val="28"/>
          <w:szCs w:val="28"/>
          <w:lang w:val="uk-UA"/>
        </w:rPr>
        <w:t>У цьому Порядку терміни вживаються в такому значенні:</w:t>
      </w:r>
    </w:p>
    <w:p w:rsidR="00835A26" w:rsidRPr="00165241" w:rsidRDefault="00835A26" w:rsidP="002D7D3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n16"/>
      <w:bookmarkEnd w:id="2"/>
      <w:r w:rsidRPr="0016524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галузь (сектор) для публічного інвестування</w:t>
      </w:r>
      <w:r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сфера діяльності </w:t>
      </w:r>
      <w:r w:rsidR="009C5780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 яку спрямовуються публічні інвестиції для підготовки та реалізації публічних інвестиційних </w:t>
      </w:r>
      <w:proofErr w:type="spellStart"/>
      <w:r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9619C9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програм публічних інвестицій;</w:t>
      </w:r>
    </w:p>
    <w:p w:rsidR="00835A26" w:rsidRPr="00165241" w:rsidRDefault="00835A26" w:rsidP="00835A2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n17"/>
      <w:bookmarkEnd w:id="3"/>
      <w:r w:rsidRPr="0016524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наскрізні стратегічні цілі здійснення публічних інвестицій (далі - наскрізні стратегічні цілі)</w:t>
      </w:r>
      <w:r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цілі здійснення публічних інвестицій, що мають міжгалузевий (</w:t>
      </w:r>
      <w:proofErr w:type="spellStart"/>
      <w:r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>міжсекторальний</w:t>
      </w:r>
      <w:proofErr w:type="spellEnd"/>
      <w:r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>) характер, відповідають національним або глобальним пріоритетам розвитку, для досягнення яких об’єднують зусилля органи влади та фізичні і юридичні особи, громадські об’єднання, інші суб’єкти, які можуть вплинути на процес досягнення цілей та/або на яких можуть вплинути їх результати;</w:t>
      </w:r>
    </w:p>
    <w:p w:rsidR="00147A58" w:rsidRPr="00165241" w:rsidRDefault="00312891" w:rsidP="00147A58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524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публічні інвестиції</w:t>
      </w:r>
      <w:r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кошти державного (місцевого) бюджету, у тому числі отримані у вигляді міжнародної технічної допомоги, кошти, залучені під державну (місцеву) гарантію, капітальні інвестиції державних унітарних підприємств та господарських товариств, у статутному капіталі яких більше 50 відсотків акцій (часток) належать державі (крім банків), комунальних унітарних підприємств, установ, організацій, крім тих, які здійснюються за рахунок власних коштів таких підприємств, товариств, установ і організацій, що </w:t>
      </w:r>
      <w:r w:rsidRPr="0016524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спрямовуються на створення (придбання), реконструкцію, технічне переоснащення основних засобів, інших необоротних матеріальних активів, нематеріальних активів, </w:t>
      </w:r>
      <w:r w:rsidRPr="0016524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lastRenderedPageBreak/>
        <w:t>очікуваний строк корисної експлуатації яких перевищує один рік</w:t>
      </w:r>
      <w:r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>, а також виплати за договорами, укладеними в рамках державно-приватного партнерства;</w:t>
      </w:r>
    </w:p>
    <w:p w:rsidR="00835A26" w:rsidRPr="00165241" w:rsidRDefault="00835A26" w:rsidP="00147A5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" w:name="n18"/>
      <w:bookmarkEnd w:id="4"/>
      <w:r w:rsidRPr="0016524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середньостроковий план</w:t>
      </w:r>
      <w:r w:rsidR="00312891"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2891" w:rsidRPr="0016524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пріоритетних публічних інвестицій </w:t>
      </w:r>
      <w:r w:rsidR="009C578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територіальної громади </w:t>
      </w:r>
      <w:r w:rsidR="009619C9" w:rsidRPr="009619C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(далі – </w:t>
      </w:r>
      <w:r w:rsidR="0066761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Середньостроковий план</w:t>
      </w:r>
      <w:r w:rsidR="009619C9" w:rsidRPr="009619C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) </w:t>
      </w:r>
      <w:r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312891"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документ, що визначає пріоритетні галузі та основні напрями публічного інвестування відповідно до цілей, визначених документами стратегічного планування державної регіональної політики в розрізі сфер діяльності територіальної громади, відповідний орієнтовний розподіл бюджетних коштів за рахунок усіх джерел, наскрізні стратегічні цілі здійснення публічних інвестицій</w:t>
      </w:r>
      <w:r w:rsidR="009C578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Start w:id="5" w:name="n19"/>
      <w:bookmarkEnd w:id="5"/>
    </w:p>
    <w:p w:rsidR="005942B9" w:rsidRDefault="005942B9" w:rsidP="00147A58">
      <w:pPr>
        <w:shd w:val="clear" w:color="auto" w:fill="FFFFFF"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5241">
        <w:rPr>
          <w:rFonts w:ascii="Times New Roman" w:eastAsia="Calibri" w:hAnsi="Times New Roman" w:cs="Times New Roman"/>
          <w:sz w:val="28"/>
          <w:szCs w:val="28"/>
          <w:lang w:val="uk-UA"/>
        </w:rPr>
        <w:t>Інші терміни вживаються у значеннях, наведених в Бюджетному кодексі України, законах України, указах Президента України, нормативно-правових актах Верховної Ради України, Кабінету Міністрів України, центральних органів влади, інших нормативних актах.</w:t>
      </w:r>
    </w:p>
    <w:p w:rsidR="009C5780" w:rsidRPr="00BD7C14" w:rsidRDefault="009C5780" w:rsidP="009C5780">
      <w:pPr>
        <w:shd w:val="clear" w:color="auto" w:fill="FFFFFF"/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D7C14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Структура Середньострокового плану</w:t>
      </w:r>
    </w:p>
    <w:p w:rsidR="009C5780" w:rsidRPr="009C5780" w:rsidRDefault="00BD7C14" w:rsidP="009C5780">
      <w:pPr>
        <w:shd w:val="clear" w:color="auto" w:fill="FFFFFF"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2.1.</w:t>
      </w:r>
      <w:r w:rsidR="009C5780" w:rsidRPr="009C57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Середньостроковий план розробляється з урахуванням вимог цього Порядку та має таку структуру: </w:t>
      </w:r>
    </w:p>
    <w:p w:rsidR="009C5780" w:rsidRPr="009C5780" w:rsidRDefault="009C5780" w:rsidP="009C5780">
      <w:pPr>
        <w:shd w:val="clear" w:color="auto" w:fill="FFFFFF"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7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1) загальна частина, що визначає мету та підстави його розроблення; </w:t>
      </w:r>
    </w:p>
    <w:p w:rsidR="009C5780" w:rsidRPr="009C5780" w:rsidRDefault="009C5780" w:rsidP="009C5780">
      <w:pPr>
        <w:shd w:val="clear" w:color="auto" w:fill="FFFFFF"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7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2) описова частина, що визначає: наскрізні стратегічні цілі здійснення публічних інвестицій; пріоритетні галузі (сектори) для публічного інвестування; </w:t>
      </w:r>
      <w:proofErr w:type="spellStart"/>
      <w:r w:rsidRPr="009C5780">
        <w:rPr>
          <w:rFonts w:ascii="Times New Roman" w:eastAsia="Calibri" w:hAnsi="Times New Roman" w:cs="Times New Roman"/>
          <w:sz w:val="28"/>
          <w:szCs w:val="28"/>
          <w:lang w:val="uk-UA"/>
        </w:rPr>
        <w:t>підсектори</w:t>
      </w:r>
      <w:proofErr w:type="spellEnd"/>
      <w:r w:rsidRPr="009C57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галузей (секторів) для публічного інвестування; основні напрями публічного інвестування; джерела фінансового забезпечення публічних інвестицій; </w:t>
      </w:r>
    </w:p>
    <w:p w:rsidR="009C5780" w:rsidRPr="009C5780" w:rsidRDefault="009C5780" w:rsidP="009C5780">
      <w:pPr>
        <w:shd w:val="clear" w:color="auto" w:fill="FFFFFF"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7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3) заключна частина, що визначає фундаментальну роль </w:t>
      </w:r>
      <w:r w:rsidR="00095848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Pr="009C57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ередньострокового плану для управління публічними інвестиціями </w:t>
      </w:r>
      <w:r w:rsidR="008F5DF1">
        <w:rPr>
          <w:rFonts w:ascii="Times New Roman" w:eastAsia="Calibri" w:hAnsi="Times New Roman" w:cs="Times New Roman"/>
          <w:sz w:val="28"/>
          <w:szCs w:val="28"/>
          <w:lang w:val="uk-UA"/>
        </w:rPr>
        <w:t>територіальної громади</w:t>
      </w:r>
      <w:r w:rsidRPr="009C57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подальший взаємозв’язок із процесом підготовки, оцінки </w:t>
      </w:r>
      <w:proofErr w:type="spellStart"/>
      <w:r w:rsidRPr="009C5780">
        <w:rPr>
          <w:rFonts w:ascii="Times New Roman" w:eastAsia="Calibri" w:hAnsi="Times New Roman" w:cs="Times New Roman"/>
          <w:sz w:val="28"/>
          <w:szCs w:val="28"/>
          <w:lang w:val="uk-UA"/>
        </w:rPr>
        <w:t>проєктів</w:t>
      </w:r>
      <w:proofErr w:type="spellEnd"/>
      <w:r w:rsidRPr="009C57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програм, а також формування Єдиного </w:t>
      </w:r>
      <w:proofErr w:type="spellStart"/>
      <w:r w:rsidRPr="009C5780">
        <w:rPr>
          <w:rFonts w:ascii="Times New Roman" w:eastAsia="Calibri" w:hAnsi="Times New Roman" w:cs="Times New Roman"/>
          <w:sz w:val="28"/>
          <w:szCs w:val="28"/>
          <w:lang w:val="uk-UA"/>
        </w:rPr>
        <w:t>проєктного</w:t>
      </w:r>
      <w:proofErr w:type="spellEnd"/>
      <w:r w:rsidRPr="009C57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портфеля публічних інвестицій Сумської міської територіальної громади і галузевих (секторальних) </w:t>
      </w:r>
      <w:proofErr w:type="spellStart"/>
      <w:r w:rsidRPr="009C5780">
        <w:rPr>
          <w:rFonts w:ascii="Times New Roman" w:eastAsia="Calibri" w:hAnsi="Times New Roman" w:cs="Times New Roman"/>
          <w:sz w:val="28"/>
          <w:szCs w:val="28"/>
          <w:lang w:val="uk-UA"/>
        </w:rPr>
        <w:t>проєктних</w:t>
      </w:r>
      <w:proofErr w:type="spellEnd"/>
      <w:r w:rsidRPr="009C57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портфелів Сумської міської територіальної громади; </w:t>
      </w:r>
    </w:p>
    <w:p w:rsidR="009C5780" w:rsidRPr="009C5780" w:rsidRDefault="009C5780" w:rsidP="009C5780">
      <w:pPr>
        <w:shd w:val="clear" w:color="auto" w:fill="FFFFFF"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780">
        <w:rPr>
          <w:rFonts w:ascii="Times New Roman" w:eastAsia="Calibri" w:hAnsi="Times New Roman" w:cs="Times New Roman"/>
          <w:sz w:val="28"/>
          <w:szCs w:val="28"/>
          <w:lang w:val="uk-UA"/>
        </w:rPr>
        <w:t>4) додаток 1 - перелік основних напрямів для публічного інвестування;</w:t>
      </w:r>
    </w:p>
    <w:p w:rsidR="009C5780" w:rsidRDefault="009C5780" w:rsidP="00BD7C14">
      <w:pPr>
        <w:shd w:val="clear" w:color="auto" w:fill="FFFFFF"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780">
        <w:rPr>
          <w:rFonts w:ascii="Times New Roman" w:eastAsia="Calibri" w:hAnsi="Times New Roman" w:cs="Times New Roman"/>
          <w:sz w:val="28"/>
          <w:szCs w:val="28"/>
          <w:lang w:val="uk-UA"/>
        </w:rPr>
        <w:t>5) додаток 2 - перелік інших напрямів, що не визначені як основні.</w:t>
      </w:r>
    </w:p>
    <w:p w:rsidR="009C5780" w:rsidRPr="00BD7C14" w:rsidRDefault="00BD7C14" w:rsidP="00BD7C14">
      <w:pPr>
        <w:shd w:val="clear" w:color="auto" w:fill="FFFFFF"/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D7C1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3. Розроблення </w:t>
      </w:r>
      <w:proofErr w:type="spellStart"/>
      <w:r w:rsidRPr="00BD7C1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BD7C1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Середньострокового плану</w:t>
      </w:r>
    </w:p>
    <w:p w:rsidR="0070701B" w:rsidRPr="00165241" w:rsidRDefault="002D7D38" w:rsidP="00147A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BD7C14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9C57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7A58"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Середньостроковий план пріоритетних публічних інвестицій </w:t>
      </w:r>
      <w:r w:rsidR="00853160"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Сумської міської </w:t>
      </w:r>
      <w:r w:rsidR="00147A58"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  <w:r w:rsidR="00853160"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складовою частиною системи стратегічного та бюджетного планування </w:t>
      </w:r>
      <w:r w:rsidR="00D97B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Сумської міської територіальної </w:t>
      </w:r>
      <w:r w:rsidR="00853160"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громади, </w:t>
      </w:r>
      <w:r w:rsidR="00147A58"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розробляється на</w:t>
      </w:r>
      <w:r w:rsidR="00853160"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плановий і наступні за плановим два бюджетних періоди щороку під час складання прогнозу бюджету</w:t>
      </w:r>
      <w:r w:rsidR="00667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Сумської міської територіальної громади</w:t>
      </w:r>
      <w:r w:rsidR="00853160"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7749F" w:rsidRPr="00165241" w:rsidRDefault="00BD7C14" w:rsidP="0085316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3.2.</w:t>
      </w:r>
      <w:r w:rsidR="00853160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612"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Середньостроковий план </w:t>
      </w:r>
      <w:r w:rsidR="00853160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розробляється </w:t>
      </w:r>
      <w:r w:rsidR="009F21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53160" w:rsidRPr="00165241">
        <w:rPr>
          <w:rFonts w:ascii="Times New Roman" w:hAnsi="Times New Roman" w:cs="Times New Roman"/>
          <w:sz w:val="28"/>
          <w:szCs w:val="28"/>
          <w:lang w:val="uk-UA"/>
        </w:rPr>
        <w:t>правлінням інвестицій, міжнародної співпраці, охорони довкілля, енергоефективності та кліматичної політики Сумської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Управління інвестицій)</w:t>
      </w:r>
      <w:r w:rsidR="00853160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пропозицій </w:t>
      </w:r>
      <w:r w:rsidR="009619C9" w:rsidRPr="009619C9">
        <w:rPr>
          <w:rFonts w:ascii="Times New Roman" w:hAnsi="Times New Roman" w:cs="Times New Roman"/>
          <w:sz w:val="28"/>
          <w:szCs w:val="28"/>
          <w:lang w:val="uk-UA"/>
        </w:rPr>
        <w:t>виконавчи</w:t>
      </w:r>
      <w:r w:rsidR="009619C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9619C9" w:rsidRPr="009619C9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="009619C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619C9" w:rsidRPr="009619C9">
        <w:rPr>
          <w:rFonts w:ascii="Times New Roman" w:hAnsi="Times New Roman" w:cs="Times New Roman"/>
          <w:sz w:val="28"/>
          <w:szCs w:val="28"/>
          <w:lang w:val="uk-UA"/>
        </w:rPr>
        <w:t xml:space="preserve"> Сумської міської ради</w:t>
      </w:r>
      <w:r w:rsidR="009B4E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3160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49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відповідальних за галузі (сектори) для публічного інвестування, </w:t>
      </w:r>
      <w:r w:rsidR="00853160" w:rsidRPr="00165241">
        <w:rPr>
          <w:rFonts w:ascii="Times New Roman" w:hAnsi="Times New Roman" w:cs="Times New Roman"/>
          <w:sz w:val="28"/>
          <w:szCs w:val="28"/>
          <w:lang w:val="uk-UA"/>
        </w:rPr>
        <w:t>відповідно до цілей і завдань</w:t>
      </w:r>
      <w:r w:rsidR="00F7749F" w:rsidRPr="00165241">
        <w:rPr>
          <w:rFonts w:ascii="Times New Roman" w:hAnsi="Times New Roman" w:cs="Times New Roman"/>
          <w:sz w:val="28"/>
          <w:szCs w:val="28"/>
          <w:lang w:val="uk-UA"/>
        </w:rPr>
        <w:t>, визначених документами</w:t>
      </w:r>
      <w:r w:rsidR="00853160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стратегічного планування</w:t>
      </w:r>
      <w:r w:rsidR="00F7749F" w:rsidRPr="001652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3160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B5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53160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межах доведеного </w:t>
      </w:r>
      <w:r w:rsidR="00F7749F" w:rsidRPr="00165241">
        <w:rPr>
          <w:rFonts w:ascii="Times New Roman" w:hAnsi="Times New Roman" w:cs="Times New Roman"/>
          <w:sz w:val="28"/>
          <w:szCs w:val="28"/>
          <w:lang w:val="uk-UA"/>
        </w:rPr>
        <w:t>Департаментом фінансів Сумської міської ради</w:t>
      </w:r>
      <w:r w:rsidR="00853160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орієнтовного граничного сукупного обсягу публічних інвестицій на середньостроковий період.</w:t>
      </w:r>
    </w:p>
    <w:p w:rsidR="007C2059" w:rsidRDefault="00A377A5" w:rsidP="0085316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3.3</w:t>
      </w:r>
      <w:r w:rsidR="002D7D3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7749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160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Середньостроковий план формується з використанням Єдиної інформаційної системи управління публічними інвестиційними </w:t>
      </w:r>
      <w:proofErr w:type="spellStart"/>
      <w:r w:rsidR="00853160" w:rsidRPr="00165241">
        <w:rPr>
          <w:rFonts w:ascii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="00853160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(далі - Єдина інформаційна система). </w:t>
      </w:r>
    </w:p>
    <w:p w:rsidR="00D97B58" w:rsidRPr="00D97B58" w:rsidRDefault="00A377A5" w:rsidP="00D97B5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3.4</w:t>
      </w:r>
      <w:r w:rsidR="002D7D3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D7C14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D97B58" w:rsidRPr="00D97B58">
        <w:rPr>
          <w:rFonts w:ascii="Times New Roman" w:hAnsi="Times New Roman" w:cs="Times New Roman"/>
          <w:sz w:val="28"/>
          <w:szCs w:val="28"/>
          <w:lang w:val="uk-UA"/>
        </w:rPr>
        <w:t xml:space="preserve"> інвестицій для підготовки </w:t>
      </w:r>
      <w:proofErr w:type="spellStart"/>
      <w:r w:rsidR="00D97B58" w:rsidRPr="00D97B5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D97B58" w:rsidRPr="00D97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B58" w:rsidRPr="00D97B58">
        <w:rPr>
          <w:rFonts w:ascii="Times New Roman" w:hAnsi="Times New Roman" w:cs="Times New Roman"/>
          <w:bCs/>
          <w:sz w:val="28"/>
          <w:szCs w:val="28"/>
          <w:lang w:val="uk-UA"/>
        </w:rPr>
        <w:t>Середньострокового плану</w:t>
      </w:r>
      <w:r w:rsidR="00D97B58" w:rsidRPr="00D97B5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97B58" w:rsidRPr="00D97B58" w:rsidRDefault="00D97B58" w:rsidP="00092BD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B5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D7C14">
        <w:rPr>
          <w:rFonts w:ascii="Times New Roman" w:hAnsi="Times New Roman" w:cs="Times New Roman"/>
          <w:sz w:val="28"/>
          <w:szCs w:val="28"/>
          <w:lang w:val="uk-UA"/>
        </w:rPr>
        <w:t xml:space="preserve">формує </w:t>
      </w:r>
      <w:r w:rsidR="00716960"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  <w:r w:rsidR="00BD7C14">
        <w:rPr>
          <w:rFonts w:ascii="Times New Roman" w:hAnsi="Times New Roman" w:cs="Times New Roman"/>
          <w:sz w:val="28"/>
          <w:szCs w:val="28"/>
          <w:lang w:val="uk-UA"/>
        </w:rPr>
        <w:t>галуз</w:t>
      </w:r>
      <w:r w:rsidR="00716960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BD7C14">
        <w:rPr>
          <w:rFonts w:ascii="Times New Roman" w:hAnsi="Times New Roman" w:cs="Times New Roman"/>
          <w:sz w:val="28"/>
          <w:szCs w:val="28"/>
          <w:lang w:val="uk-UA"/>
        </w:rPr>
        <w:t xml:space="preserve"> (сектор</w:t>
      </w:r>
      <w:r w:rsidR="0071696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D7C1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16960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716960">
        <w:rPr>
          <w:rFonts w:ascii="Times New Roman" w:hAnsi="Times New Roman" w:cs="Times New Roman"/>
          <w:sz w:val="28"/>
          <w:szCs w:val="28"/>
          <w:lang w:val="uk-UA"/>
        </w:rPr>
        <w:t>підсекторів</w:t>
      </w:r>
      <w:proofErr w:type="spellEnd"/>
      <w:r w:rsidR="00716960">
        <w:rPr>
          <w:rFonts w:ascii="Times New Roman" w:hAnsi="Times New Roman" w:cs="Times New Roman"/>
          <w:sz w:val="28"/>
          <w:szCs w:val="28"/>
          <w:lang w:val="uk-UA"/>
        </w:rPr>
        <w:t xml:space="preserve"> галузей (секторів) </w:t>
      </w:r>
      <w:r w:rsidR="00BD7C14" w:rsidRPr="00D97B58">
        <w:rPr>
          <w:rFonts w:ascii="Times New Roman" w:hAnsi="Times New Roman" w:cs="Times New Roman"/>
          <w:sz w:val="28"/>
          <w:szCs w:val="28"/>
          <w:lang w:val="uk-UA"/>
        </w:rPr>
        <w:t>для публічного інвестування</w:t>
      </w:r>
      <w:r w:rsidR="00716960">
        <w:rPr>
          <w:rFonts w:ascii="Times New Roman" w:hAnsi="Times New Roman" w:cs="Times New Roman"/>
          <w:sz w:val="28"/>
          <w:szCs w:val="28"/>
          <w:lang w:val="uk-UA"/>
        </w:rPr>
        <w:t xml:space="preserve"> Сумської міської територіальної громади</w:t>
      </w:r>
      <w:r w:rsidR="00BD7C14" w:rsidRPr="00D97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B58">
        <w:rPr>
          <w:rFonts w:ascii="Times New Roman" w:hAnsi="Times New Roman" w:cs="Times New Roman"/>
          <w:sz w:val="28"/>
          <w:szCs w:val="28"/>
          <w:lang w:val="uk-UA"/>
        </w:rPr>
        <w:t xml:space="preserve">згідно з Додатком 1 </w:t>
      </w:r>
      <w:r w:rsidR="00BD7C1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716960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93D13" w:rsidRPr="00D97B58">
        <w:rPr>
          <w:rFonts w:ascii="Times New Roman" w:hAnsi="Times New Roman" w:cs="Times New Roman"/>
          <w:sz w:val="28"/>
          <w:szCs w:val="28"/>
          <w:lang w:val="uk-UA"/>
        </w:rPr>
        <w:t>Порядку</w:t>
      </w:r>
      <w:r w:rsidRPr="00D97B58">
        <w:rPr>
          <w:rFonts w:ascii="Times New Roman" w:hAnsi="Times New Roman" w:cs="Times New Roman"/>
          <w:sz w:val="28"/>
          <w:szCs w:val="28"/>
          <w:lang w:val="uk-UA"/>
        </w:rPr>
        <w:t>, і в разі потреби, готує пропозиції про внесення змін до них;</w:t>
      </w:r>
    </w:p>
    <w:p w:rsidR="00D97B58" w:rsidRDefault="00D97B58" w:rsidP="00D97B5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n24"/>
      <w:bookmarkStart w:id="7" w:name="n25"/>
      <w:bookmarkEnd w:id="6"/>
      <w:bookmarkEnd w:id="7"/>
      <w:r w:rsidRPr="00D97B5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2AA4">
        <w:rPr>
          <w:rFonts w:ascii="Times New Roman" w:hAnsi="Times New Roman" w:cs="Times New Roman"/>
          <w:sz w:val="28"/>
          <w:szCs w:val="28"/>
          <w:lang w:val="uk-UA"/>
        </w:rPr>
        <w:t>визначає</w:t>
      </w:r>
      <w:r w:rsidRPr="00D97B58">
        <w:rPr>
          <w:rFonts w:ascii="Times New Roman" w:hAnsi="Times New Roman" w:cs="Times New Roman"/>
          <w:sz w:val="28"/>
          <w:szCs w:val="28"/>
          <w:lang w:val="uk-UA"/>
        </w:rPr>
        <w:t xml:space="preserve"> наскрізні стратегічні цілі на середньостроковий період на основі аналізу документів стратегічного планування державної регіональної політики, Стратегії розвитку Сумської міської територіальної громади та із урахуванням рекомендацій, отриманих від </w:t>
      </w:r>
      <w:bookmarkStart w:id="8" w:name="n26"/>
      <w:bookmarkEnd w:id="8"/>
      <w:r w:rsidRPr="00D97B58">
        <w:rPr>
          <w:rFonts w:ascii="Times New Roman" w:hAnsi="Times New Roman" w:cs="Times New Roman"/>
          <w:sz w:val="28"/>
          <w:szCs w:val="28"/>
          <w:lang w:val="uk-UA"/>
        </w:rPr>
        <w:t>виконавчих органів Сумської міської ради, відповідальних за галузі (сектори) для публічного інвестування.</w:t>
      </w:r>
    </w:p>
    <w:p w:rsidR="00EF2AA4" w:rsidRDefault="00EF2AA4" w:rsidP="00EF2AA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готує</w:t>
      </w:r>
      <w:r w:rsidRPr="00EF2AA4">
        <w:rPr>
          <w:rFonts w:ascii="Times New Roman" w:hAnsi="Times New Roman" w:cs="Times New Roman"/>
          <w:sz w:val="28"/>
          <w:szCs w:val="28"/>
          <w:lang w:val="uk-UA"/>
        </w:rPr>
        <w:t xml:space="preserve"> інструктивний лист щодо формування пропозицій до Середньострокового плану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B58">
        <w:rPr>
          <w:rFonts w:ascii="Times New Roman" w:hAnsi="Times New Roman" w:cs="Times New Roman"/>
          <w:sz w:val="28"/>
          <w:szCs w:val="28"/>
          <w:lang w:val="uk-UA"/>
        </w:rPr>
        <w:t>Сумської міської територіальної громади</w:t>
      </w:r>
      <w:r w:rsidR="009B4ED2">
        <w:rPr>
          <w:rFonts w:ascii="Times New Roman" w:hAnsi="Times New Roman" w:cs="Times New Roman"/>
          <w:sz w:val="28"/>
          <w:szCs w:val="28"/>
          <w:lang w:val="uk-UA"/>
        </w:rPr>
        <w:t xml:space="preserve"> (далі - інструктивний лист)</w:t>
      </w:r>
      <w:r w:rsidRPr="00EF2AA4">
        <w:rPr>
          <w:rFonts w:ascii="Times New Roman" w:hAnsi="Times New Roman" w:cs="Times New Roman"/>
          <w:sz w:val="28"/>
          <w:szCs w:val="28"/>
          <w:lang w:val="uk-UA"/>
        </w:rPr>
        <w:t xml:space="preserve">, який повинен містити: підходи до визначення основних напрямів публічного інвестування (із обов’язковим урахуванням діючих програм публічних інвестицій та публічних інвестиційних </w:t>
      </w:r>
      <w:proofErr w:type="spellStart"/>
      <w:r w:rsidRPr="00EF2AA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EF2AA4">
        <w:rPr>
          <w:rFonts w:ascii="Times New Roman" w:hAnsi="Times New Roman" w:cs="Times New Roman"/>
          <w:sz w:val="28"/>
          <w:szCs w:val="28"/>
          <w:lang w:val="uk-UA"/>
        </w:rPr>
        <w:t xml:space="preserve">); підходи до визначення цільових показників напрямів публічного інвестування з урахуванням конкретності, </w:t>
      </w:r>
      <w:proofErr w:type="spellStart"/>
      <w:r w:rsidRPr="00EF2AA4">
        <w:rPr>
          <w:rFonts w:ascii="Times New Roman" w:hAnsi="Times New Roman" w:cs="Times New Roman"/>
          <w:sz w:val="28"/>
          <w:szCs w:val="28"/>
          <w:lang w:val="uk-UA"/>
        </w:rPr>
        <w:t>вимірюваності</w:t>
      </w:r>
      <w:proofErr w:type="spellEnd"/>
      <w:r w:rsidRPr="00EF2AA4">
        <w:rPr>
          <w:rFonts w:ascii="Times New Roman" w:hAnsi="Times New Roman" w:cs="Times New Roman"/>
          <w:sz w:val="28"/>
          <w:szCs w:val="28"/>
          <w:lang w:val="uk-UA"/>
        </w:rPr>
        <w:t xml:space="preserve">, досяжності, </w:t>
      </w:r>
      <w:proofErr w:type="spellStart"/>
      <w:r w:rsidRPr="00EF2AA4">
        <w:rPr>
          <w:rFonts w:ascii="Times New Roman" w:hAnsi="Times New Roman" w:cs="Times New Roman"/>
          <w:sz w:val="28"/>
          <w:szCs w:val="28"/>
          <w:lang w:val="uk-UA"/>
        </w:rPr>
        <w:t>релевантності</w:t>
      </w:r>
      <w:proofErr w:type="spellEnd"/>
      <w:r w:rsidRPr="00EF2AA4">
        <w:rPr>
          <w:rFonts w:ascii="Times New Roman" w:hAnsi="Times New Roman" w:cs="Times New Roman"/>
          <w:sz w:val="28"/>
          <w:szCs w:val="28"/>
          <w:lang w:val="uk-UA"/>
        </w:rPr>
        <w:t xml:space="preserve"> таких цільових показників; підходи до визначення орієнтовних фінансових потреб щодо здійснення публічних інвестицій і розрахунків, що обґрунтовують такі потреби, а також особливості подання таких пропозицій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25B0" w:rsidRDefault="00A377A5" w:rsidP="002E25B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DF1">
        <w:rPr>
          <w:rFonts w:ascii="Times New Roman" w:hAnsi="Times New Roman" w:cs="Times New Roman"/>
          <w:sz w:val="28"/>
          <w:szCs w:val="28"/>
          <w:lang w:val="uk-UA"/>
        </w:rPr>
        <w:t>3.5</w:t>
      </w:r>
      <w:r w:rsidR="002D7D38" w:rsidRPr="008F5DF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25B0" w:rsidRPr="008F5DF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</w:t>
      </w:r>
      <w:r w:rsidR="00FE7FB3" w:rsidRPr="008F5DF1">
        <w:rPr>
          <w:rFonts w:ascii="Times New Roman" w:hAnsi="Times New Roman" w:cs="Times New Roman"/>
          <w:sz w:val="28"/>
          <w:szCs w:val="28"/>
          <w:lang w:val="uk-UA"/>
        </w:rPr>
        <w:t xml:space="preserve">інвестицій </w:t>
      </w:r>
      <w:r w:rsidR="002E25B0" w:rsidRPr="008F5DF1">
        <w:rPr>
          <w:rFonts w:ascii="Times New Roman" w:hAnsi="Times New Roman" w:cs="Times New Roman"/>
          <w:sz w:val="28"/>
          <w:szCs w:val="28"/>
          <w:lang w:val="uk-UA"/>
        </w:rPr>
        <w:t xml:space="preserve">не пізніше </w:t>
      </w:r>
      <w:r w:rsidR="002E25B0" w:rsidRPr="008F5DF1">
        <w:rPr>
          <w:rFonts w:ascii="Times New Roman" w:hAnsi="Times New Roman" w:cs="Times New Roman"/>
          <w:i/>
          <w:sz w:val="28"/>
          <w:szCs w:val="28"/>
          <w:lang w:val="uk-UA"/>
        </w:rPr>
        <w:t>01 червня</w:t>
      </w:r>
      <w:r w:rsidR="002E25B0" w:rsidRPr="008F5DF1">
        <w:rPr>
          <w:rFonts w:ascii="Times New Roman" w:hAnsi="Times New Roman" w:cs="Times New Roman"/>
          <w:sz w:val="28"/>
          <w:szCs w:val="28"/>
          <w:lang w:val="uk-UA"/>
        </w:rPr>
        <w:t xml:space="preserve"> року, що передує</w:t>
      </w:r>
      <w:r w:rsidR="002E25B0" w:rsidRPr="00EF2AA4">
        <w:rPr>
          <w:rFonts w:ascii="Times New Roman" w:hAnsi="Times New Roman" w:cs="Times New Roman"/>
          <w:sz w:val="28"/>
          <w:szCs w:val="28"/>
          <w:lang w:val="uk-UA"/>
        </w:rPr>
        <w:t xml:space="preserve"> плановому, надсилає до виконавчих органів </w:t>
      </w:r>
      <w:r w:rsidR="00EF2AA4">
        <w:rPr>
          <w:rFonts w:ascii="Times New Roman" w:hAnsi="Times New Roman" w:cs="Times New Roman"/>
          <w:sz w:val="28"/>
          <w:szCs w:val="28"/>
          <w:lang w:val="uk-UA"/>
        </w:rPr>
        <w:t xml:space="preserve">Сумської </w:t>
      </w:r>
      <w:r w:rsidR="002E25B0" w:rsidRPr="00EF2AA4">
        <w:rPr>
          <w:rFonts w:ascii="Times New Roman" w:hAnsi="Times New Roman" w:cs="Times New Roman"/>
          <w:sz w:val="28"/>
          <w:szCs w:val="28"/>
          <w:lang w:val="uk-UA"/>
        </w:rPr>
        <w:t>міської ради, відповідальних</w:t>
      </w:r>
      <w:r w:rsidR="002E25B0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за галузі (сектори) для публічного інвестування, запит про подання пропозицій до Середньостроков</w:t>
      </w:r>
      <w:r w:rsidR="002E25B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E25B0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2E25B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E25B0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E25B0" w:rsidRPr="008C28C9">
        <w:rPr>
          <w:rFonts w:ascii="Times New Roman" w:hAnsi="Times New Roman" w:cs="Times New Roman"/>
          <w:sz w:val="28"/>
          <w:szCs w:val="28"/>
          <w:lang w:val="uk-UA"/>
        </w:rPr>
        <w:t>інструктивний лист</w:t>
      </w:r>
      <w:r w:rsidR="00EF2A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25B0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25B0" w:rsidRPr="00165241" w:rsidRDefault="00A377A5" w:rsidP="002E25B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3.6</w:t>
      </w:r>
      <w:r w:rsidR="002D7D3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25B0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Пропозиція до </w:t>
      </w:r>
      <w:r w:rsidR="002E25B0" w:rsidRPr="00A86443">
        <w:rPr>
          <w:rFonts w:ascii="Times New Roman" w:hAnsi="Times New Roman" w:cs="Times New Roman"/>
          <w:sz w:val="28"/>
          <w:szCs w:val="28"/>
          <w:lang w:val="uk-UA"/>
        </w:rPr>
        <w:t>Середньострокового плану</w:t>
      </w:r>
      <w:r w:rsidR="002E25B0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готується виконавчими органами Сумської міської ради, відповідальними за галузі (сектори) для публічного інвестування, на основі </w:t>
      </w:r>
      <w:r w:rsidR="002E25B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відповідних галузевих (секторальних) </w:t>
      </w:r>
      <w:r w:rsidR="002E25B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стратегій, Державної стратегії регіонального розвитку, </w:t>
      </w:r>
      <w:r w:rsidR="002E25B0" w:rsidRPr="00165241">
        <w:rPr>
          <w:rFonts w:ascii="Times New Roman" w:hAnsi="Times New Roman" w:cs="Times New Roman"/>
          <w:sz w:val="28"/>
          <w:szCs w:val="28"/>
          <w:lang w:val="uk-UA"/>
        </w:rPr>
        <w:t>Стратегії розвитку Сумської міської територіальної громади і переліку галузей для публічного інвестування.</w:t>
      </w:r>
    </w:p>
    <w:p w:rsidR="00D25ECF" w:rsidRPr="00165241" w:rsidRDefault="00D25ECF" w:rsidP="00D25EC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n28"/>
      <w:bookmarkEnd w:id="9"/>
      <w:r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до </w:t>
      </w:r>
      <w:r w:rsidR="00A86443" w:rsidRPr="00A86443">
        <w:rPr>
          <w:rFonts w:ascii="Times New Roman" w:hAnsi="Times New Roman" w:cs="Times New Roman"/>
          <w:sz w:val="28"/>
          <w:szCs w:val="28"/>
          <w:lang w:val="uk-UA"/>
        </w:rPr>
        <w:t>Середньострокового плану</w:t>
      </w:r>
      <w:r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повинна містити інформацію щодо:</w:t>
      </w:r>
    </w:p>
    <w:p w:rsidR="00D25ECF" w:rsidRPr="00165241" w:rsidRDefault="00D25ECF" w:rsidP="00D25EC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165241">
        <w:rPr>
          <w:rFonts w:ascii="Times New Roman" w:hAnsi="Times New Roman" w:cs="Times New Roman"/>
          <w:sz w:val="28"/>
          <w:szCs w:val="28"/>
          <w:lang w:val="uk-UA"/>
        </w:rPr>
        <w:t>підсекторів</w:t>
      </w:r>
      <w:proofErr w:type="spellEnd"/>
      <w:r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в рамках галузі (сектору) для публічного інвестування;</w:t>
      </w:r>
    </w:p>
    <w:p w:rsidR="002E25B0" w:rsidRDefault="00D25ECF" w:rsidP="00A377A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n29"/>
      <w:bookmarkStart w:id="11" w:name="n30"/>
      <w:bookmarkEnd w:id="10"/>
      <w:bookmarkEnd w:id="11"/>
      <w:r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- напрямів публічного інвестування у відповідних </w:t>
      </w:r>
      <w:proofErr w:type="spellStart"/>
      <w:r w:rsidR="00796B93" w:rsidRPr="00165241">
        <w:rPr>
          <w:rFonts w:ascii="Times New Roman" w:hAnsi="Times New Roman" w:cs="Times New Roman"/>
          <w:sz w:val="28"/>
          <w:szCs w:val="28"/>
          <w:lang w:val="uk-UA"/>
        </w:rPr>
        <w:t>підсекторах</w:t>
      </w:r>
      <w:proofErr w:type="spellEnd"/>
      <w:r w:rsidR="00796B9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галузі (сектору)</w:t>
      </w:r>
      <w:r w:rsidR="004704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704B1" w:rsidRPr="004704B1">
        <w:rPr>
          <w:rFonts w:ascii="Times New Roman" w:hAnsi="Times New Roman" w:cs="Times New Roman"/>
          <w:sz w:val="28"/>
          <w:szCs w:val="28"/>
          <w:lang w:val="uk-UA"/>
        </w:rPr>
        <w:t xml:space="preserve">які мають узгоджуватись із завданнями </w:t>
      </w:r>
      <w:r w:rsidR="00A377A5" w:rsidRPr="00165241">
        <w:rPr>
          <w:rFonts w:ascii="Times New Roman" w:hAnsi="Times New Roman" w:cs="Times New Roman"/>
          <w:sz w:val="28"/>
          <w:szCs w:val="28"/>
          <w:lang w:val="uk-UA"/>
        </w:rPr>
        <w:t>Стратегії розвитку Сумської міської територіальної громади</w:t>
      </w:r>
      <w:r w:rsidR="00A377A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377A5" w:rsidRPr="00A377A5">
        <w:rPr>
          <w:rFonts w:ascii="Times New Roman" w:hAnsi="Times New Roman" w:cs="Times New Roman"/>
          <w:sz w:val="28"/>
          <w:szCs w:val="28"/>
          <w:lang w:val="uk-UA"/>
        </w:rPr>
        <w:t>Середньостроков</w:t>
      </w:r>
      <w:r w:rsidR="00095848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A377A5" w:rsidRPr="00A377A5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09584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A377A5" w:rsidRPr="00A377A5">
        <w:rPr>
          <w:rFonts w:ascii="Times New Roman" w:hAnsi="Times New Roman" w:cs="Times New Roman"/>
          <w:sz w:val="28"/>
          <w:szCs w:val="28"/>
          <w:lang w:val="uk-UA"/>
        </w:rPr>
        <w:t xml:space="preserve"> пріоритетних публічних інвестицій</w:t>
      </w:r>
      <w:r w:rsidR="00A377A5">
        <w:rPr>
          <w:rFonts w:ascii="Times New Roman" w:hAnsi="Times New Roman" w:cs="Times New Roman"/>
          <w:sz w:val="28"/>
          <w:szCs w:val="28"/>
          <w:lang w:val="uk-UA"/>
        </w:rPr>
        <w:t xml:space="preserve"> держави</w:t>
      </w:r>
      <w:r w:rsidR="002E25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12855" w:rsidRDefault="00E12855" w:rsidP="00D25EC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пріоритезації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напрямів публічного інвестування із визначенням основних, </w:t>
      </w:r>
      <w:r w:rsidRPr="00165241">
        <w:rPr>
          <w:rFonts w:ascii="Times New Roman" w:hAnsi="Times New Roman" w:cs="Times New Roman"/>
          <w:sz w:val="28"/>
          <w:szCs w:val="28"/>
          <w:lang w:val="uk-UA"/>
        </w:rPr>
        <w:t>які є критично важливими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B93" w:rsidRPr="00165241">
        <w:rPr>
          <w:rFonts w:ascii="Times New Roman" w:hAnsi="Times New Roman" w:cs="Times New Roman"/>
          <w:sz w:val="28"/>
          <w:szCs w:val="28"/>
          <w:lang w:val="uk-UA"/>
        </w:rPr>
        <w:t>та потребують першочергового фінансування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25ECF" w:rsidRPr="00165241" w:rsidRDefault="00796B93" w:rsidP="00D25EC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n31"/>
      <w:bookmarkEnd w:id="12"/>
      <w:r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25EC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цільових показників </w:t>
      </w:r>
      <w:r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кожного </w:t>
      </w:r>
      <w:r w:rsidR="00D25EC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напряму публічного інвестування та їх планових значень, які передбачається досягнути, </w:t>
      </w:r>
      <w:bookmarkStart w:id="13" w:name="n32"/>
      <w:bookmarkEnd w:id="13"/>
      <w:r w:rsidR="00D25ECF" w:rsidRPr="00165241">
        <w:rPr>
          <w:rFonts w:ascii="Times New Roman" w:hAnsi="Times New Roman" w:cs="Times New Roman"/>
          <w:sz w:val="28"/>
          <w:szCs w:val="28"/>
          <w:lang w:val="uk-UA"/>
        </w:rPr>
        <w:t>із урахуванням: наскрізних стратегічних цілей та узгоджен</w:t>
      </w:r>
      <w:r w:rsidRPr="0016524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D25EC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із показниками виконання завдань, визначених Стратегією розвитку </w:t>
      </w:r>
      <w:r w:rsidRPr="00165241">
        <w:rPr>
          <w:rFonts w:ascii="Times New Roman" w:hAnsi="Times New Roman" w:cs="Times New Roman"/>
          <w:sz w:val="28"/>
          <w:szCs w:val="28"/>
          <w:lang w:val="uk-UA"/>
        </w:rPr>
        <w:t>Сумської міської територіальної громади</w:t>
      </w:r>
      <w:r w:rsidR="008F5DF1">
        <w:rPr>
          <w:rFonts w:ascii="Times New Roman" w:hAnsi="Times New Roman" w:cs="Times New Roman"/>
          <w:sz w:val="28"/>
          <w:szCs w:val="28"/>
          <w:lang w:val="uk-UA"/>
        </w:rPr>
        <w:t xml:space="preserve"> та показниками </w:t>
      </w:r>
      <w:r w:rsidR="00D25EC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4" w:name="n33"/>
      <w:bookmarkEnd w:id="14"/>
      <w:r w:rsidR="008F5DF1">
        <w:rPr>
          <w:rFonts w:ascii="Times New Roman" w:hAnsi="Times New Roman" w:cs="Times New Roman"/>
          <w:sz w:val="28"/>
          <w:szCs w:val="28"/>
          <w:lang w:val="uk-UA"/>
        </w:rPr>
        <w:t>Середньострокового</w:t>
      </w:r>
      <w:r w:rsidR="008F5DF1" w:rsidRPr="008F5DF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8F5DF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F5DF1" w:rsidRPr="008F5DF1">
        <w:rPr>
          <w:rFonts w:ascii="Times New Roman" w:hAnsi="Times New Roman" w:cs="Times New Roman"/>
          <w:sz w:val="28"/>
          <w:szCs w:val="28"/>
          <w:lang w:val="uk-UA"/>
        </w:rPr>
        <w:t xml:space="preserve"> пріоритетних публічних інвестицій</w:t>
      </w:r>
      <w:r w:rsidR="008F5DF1">
        <w:rPr>
          <w:rFonts w:ascii="Times New Roman" w:hAnsi="Times New Roman" w:cs="Times New Roman"/>
          <w:sz w:val="28"/>
          <w:szCs w:val="28"/>
          <w:lang w:val="uk-UA"/>
        </w:rPr>
        <w:t xml:space="preserve"> держави</w:t>
      </w:r>
      <w:r w:rsidR="00D25ECF" w:rsidRPr="0016524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E25B0" w:rsidRPr="002E2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25ECF" w:rsidRPr="00165241" w:rsidRDefault="00D25ECF" w:rsidP="00D25EC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377A5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орієнтовних фінансових потреб для здійснення публічних інвестицій </w:t>
      </w:r>
      <w:r w:rsidR="00796B93" w:rsidRPr="00A377A5">
        <w:rPr>
          <w:rFonts w:ascii="Times New Roman" w:hAnsi="Times New Roman" w:cs="Times New Roman"/>
          <w:sz w:val="28"/>
          <w:szCs w:val="28"/>
          <w:lang w:val="uk-UA"/>
        </w:rPr>
        <w:t xml:space="preserve">на період, необхідний для реалізації обраного напряму, </w:t>
      </w:r>
      <w:r w:rsidRPr="00A377A5">
        <w:rPr>
          <w:rFonts w:ascii="Times New Roman" w:hAnsi="Times New Roman" w:cs="Times New Roman"/>
          <w:sz w:val="28"/>
          <w:szCs w:val="28"/>
          <w:lang w:val="uk-UA"/>
        </w:rPr>
        <w:t>разом із розрахунками, що обґрунтовують такі потреби.</w:t>
      </w:r>
    </w:p>
    <w:p w:rsidR="00CB273F" w:rsidRPr="00165241" w:rsidRDefault="00A377A5" w:rsidP="0029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3.7</w:t>
      </w:r>
      <w:r w:rsidR="002D7D3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0B01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85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12855" w:rsidRPr="00E12855">
        <w:rPr>
          <w:rFonts w:ascii="Times New Roman" w:hAnsi="Times New Roman" w:cs="Times New Roman"/>
          <w:sz w:val="28"/>
          <w:szCs w:val="28"/>
          <w:lang w:val="uk-UA"/>
        </w:rPr>
        <w:t>иконавч</w:t>
      </w:r>
      <w:r w:rsidR="00E1285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E030D">
        <w:rPr>
          <w:rFonts w:ascii="Times New Roman" w:hAnsi="Times New Roman" w:cs="Times New Roman"/>
          <w:sz w:val="28"/>
          <w:szCs w:val="28"/>
          <w:lang w:val="uk-UA"/>
        </w:rPr>
        <w:t xml:space="preserve"> органи</w:t>
      </w:r>
      <w:r w:rsidR="00E12855" w:rsidRPr="00E12855">
        <w:rPr>
          <w:rFonts w:ascii="Times New Roman" w:hAnsi="Times New Roman" w:cs="Times New Roman"/>
          <w:sz w:val="28"/>
          <w:szCs w:val="28"/>
          <w:lang w:val="uk-UA"/>
        </w:rPr>
        <w:t xml:space="preserve"> Сумської міської ради, відповідальн</w:t>
      </w:r>
      <w:r w:rsidR="00E1285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12855" w:rsidRPr="00E12855">
        <w:rPr>
          <w:rFonts w:ascii="Times New Roman" w:hAnsi="Times New Roman" w:cs="Times New Roman"/>
          <w:sz w:val="28"/>
          <w:szCs w:val="28"/>
          <w:lang w:val="uk-UA"/>
        </w:rPr>
        <w:t xml:space="preserve"> за галузі (сектори) для публічного інвестування</w:t>
      </w:r>
      <w:r w:rsidR="009B4E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12855" w:rsidRPr="00E12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B01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A0B01" w:rsidRPr="00A377A5">
        <w:rPr>
          <w:rFonts w:ascii="Times New Roman" w:hAnsi="Times New Roman" w:cs="Times New Roman"/>
          <w:i/>
          <w:sz w:val="28"/>
          <w:szCs w:val="28"/>
          <w:lang w:val="uk-UA"/>
        </w:rPr>
        <w:t>місячний строк</w:t>
      </w:r>
      <w:r w:rsidR="000A0B01" w:rsidRPr="00A377A5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0A0B01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дня отримання запиту </w:t>
      </w:r>
      <w:r w:rsidR="002E030D">
        <w:rPr>
          <w:rFonts w:ascii="Times New Roman" w:hAnsi="Times New Roman" w:cs="Times New Roman"/>
          <w:sz w:val="28"/>
          <w:szCs w:val="28"/>
          <w:lang w:val="uk-UA"/>
        </w:rPr>
        <w:t xml:space="preserve">про подання пропозицій до Середньострокового плану </w:t>
      </w:r>
      <w:r w:rsidR="000A0B01" w:rsidRPr="00165241">
        <w:rPr>
          <w:rFonts w:ascii="Times New Roman" w:hAnsi="Times New Roman" w:cs="Times New Roman"/>
          <w:sz w:val="28"/>
          <w:szCs w:val="28"/>
          <w:lang w:val="uk-UA"/>
        </w:rPr>
        <w:t>забезп</w:t>
      </w:r>
      <w:r w:rsidR="00E12855">
        <w:rPr>
          <w:rFonts w:ascii="Times New Roman" w:hAnsi="Times New Roman" w:cs="Times New Roman"/>
          <w:sz w:val="28"/>
          <w:szCs w:val="28"/>
          <w:lang w:val="uk-UA"/>
        </w:rPr>
        <w:t xml:space="preserve">ечують складання </w:t>
      </w:r>
      <w:r w:rsidR="002E030D">
        <w:rPr>
          <w:rFonts w:ascii="Times New Roman" w:hAnsi="Times New Roman" w:cs="Times New Roman"/>
          <w:sz w:val="28"/>
          <w:szCs w:val="28"/>
          <w:lang w:val="uk-UA"/>
        </w:rPr>
        <w:t>таких пропозицій</w:t>
      </w:r>
      <w:r w:rsidR="000A0B01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за запропонованою формою згідно з Додатком </w:t>
      </w:r>
      <w:r w:rsidR="0096549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A0B01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до цього Порядку і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дають їх Управлінню інвестицій </w:t>
      </w:r>
      <w:r w:rsidR="000A0B01" w:rsidRPr="00165241">
        <w:rPr>
          <w:rFonts w:ascii="Times New Roman" w:hAnsi="Times New Roman" w:cs="Times New Roman"/>
          <w:sz w:val="28"/>
          <w:szCs w:val="28"/>
          <w:lang w:val="uk-UA"/>
        </w:rPr>
        <w:t>у електронній та паперовій формі.</w:t>
      </w:r>
    </w:p>
    <w:p w:rsidR="000A0B01" w:rsidRPr="00165241" w:rsidRDefault="00A377A5" w:rsidP="0029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3.8</w:t>
      </w:r>
      <w:r w:rsidR="002D7D3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0B01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Аналіз пропозицій до 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>Середньостроков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A0B01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, поданих </w:t>
      </w:r>
      <w:r w:rsidR="00E12855" w:rsidRPr="00E12855">
        <w:rPr>
          <w:rFonts w:ascii="Times New Roman" w:hAnsi="Times New Roman" w:cs="Times New Roman"/>
          <w:sz w:val="28"/>
          <w:szCs w:val="28"/>
          <w:lang w:val="uk-UA"/>
        </w:rPr>
        <w:t>виконавчими органами Сумської міської ради, відповідальними за галузі (сектори) для публічного інвестування</w:t>
      </w:r>
      <w:r w:rsidR="000A0B01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, узагальнення отриманої інформації та формування </w:t>
      </w:r>
      <w:proofErr w:type="spellStart"/>
      <w:r w:rsidR="000A0B01" w:rsidRPr="0016524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0A0B01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>Середньостроков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A0B01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Управлінням інвестицій.</w:t>
      </w:r>
      <w:r w:rsidR="00E12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B6868" w:rsidRPr="00165241" w:rsidRDefault="00A377A5" w:rsidP="0029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3.9</w:t>
      </w:r>
      <w:r w:rsidR="002D7D3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6868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У разі виявлення за результатами аналізу невідповідності пропозиції до 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>Середньостроков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B6868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вимогам </w:t>
      </w:r>
      <w:r w:rsidR="009B4ED2">
        <w:rPr>
          <w:rFonts w:ascii="Times New Roman" w:hAnsi="Times New Roman" w:cs="Times New Roman"/>
          <w:sz w:val="28"/>
          <w:szCs w:val="28"/>
          <w:lang w:val="uk-UA"/>
        </w:rPr>
        <w:t>інструктивного листа</w:t>
      </w:r>
      <w:r w:rsidR="00E15132">
        <w:rPr>
          <w:rFonts w:ascii="Times New Roman" w:hAnsi="Times New Roman" w:cs="Times New Roman"/>
          <w:sz w:val="28"/>
          <w:szCs w:val="28"/>
          <w:lang w:val="uk-UA"/>
        </w:rPr>
        <w:t xml:space="preserve">, Управління інвестицій </w:t>
      </w:r>
      <w:r w:rsidR="003B6868" w:rsidRPr="00A377A5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Pr="00A377A5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="003B6868" w:rsidRPr="00A377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r w:rsidRPr="00A377A5">
        <w:rPr>
          <w:rFonts w:ascii="Times New Roman" w:hAnsi="Times New Roman" w:cs="Times New Roman"/>
          <w:i/>
          <w:sz w:val="28"/>
          <w:szCs w:val="28"/>
          <w:lang w:val="uk-UA"/>
        </w:rPr>
        <w:t>п’яти</w:t>
      </w:r>
      <w:r w:rsidR="003B6868" w:rsidRPr="00A377A5">
        <w:rPr>
          <w:rFonts w:ascii="Times New Roman" w:hAnsi="Times New Roman" w:cs="Times New Roman"/>
          <w:i/>
          <w:sz w:val="28"/>
          <w:szCs w:val="28"/>
          <w:lang w:val="uk-UA"/>
        </w:rPr>
        <w:t>) робочих днів</w:t>
      </w:r>
      <w:r w:rsidR="003B6868" w:rsidRPr="00A377A5">
        <w:rPr>
          <w:rFonts w:ascii="Times New Roman" w:hAnsi="Times New Roman" w:cs="Times New Roman"/>
          <w:sz w:val="28"/>
          <w:szCs w:val="28"/>
          <w:lang w:val="uk-UA"/>
        </w:rPr>
        <w:t xml:space="preserve"> з дати</w:t>
      </w:r>
      <w:r w:rsidR="003B6868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реєстрації такої пропозиції повертає її для доопрацювання відповідному </w:t>
      </w:r>
      <w:r w:rsidR="0029709F" w:rsidRPr="0029709F"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r w:rsidR="0029709F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29709F" w:rsidRPr="0029709F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="0029709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709F" w:rsidRPr="0029709F">
        <w:rPr>
          <w:rFonts w:ascii="Times New Roman" w:hAnsi="Times New Roman" w:cs="Times New Roman"/>
          <w:sz w:val="28"/>
          <w:szCs w:val="28"/>
          <w:lang w:val="uk-UA"/>
        </w:rPr>
        <w:t xml:space="preserve"> Сумської міської ради, відповідальн</w:t>
      </w:r>
      <w:r w:rsidR="0029709F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29709F" w:rsidRPr="0029709F">
        <w:rPr>
          <w:rFonts w:ascii="Times New Roman" w:hAnsi="Times New Roman" w:cs="Times New Roman"/>
          <w:sz w:val="28"/>
          <w:szCs w:val="28"/>
          <w:lang w:val="uk-UA"/>
        </w:rPr>
        <w:t xml:space="preserve"> за галузі (сектори) для публічного інвестування</w:t>
      </w:r>
      <w:r w:rsidR="009B4E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709F" w:rsidRPr="00297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868" w:rsidRPr="00165241">
        <w:rPr>
          <w:rFonts w:ascii="Times New Roman" w:hAnsi="Times New Roman" w:cs="Times New Roman"/>
          <w:sz w:val="28"/>
          <w:szCs w:val="28"/>
          <w:lang w:val="uk-UA"/>
        </w:rPr>
        <w:t>з наданням відповідних обґрунтувань. Наявність орфографічних, синтаксичних або граматичних помилок, які не спотворюють змісту пропозиції, не є підставою для її повернення.</w:t>
      </w:r>
    </w:p>
    <w:p w:rsidR="003B6868" w:rsidRPr="00165241" w:rsidRDefault="00A377A5" w:rsidP="003B6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3.10.</w:t>
      </w:r>
      <w:r w:rsidR="003B6868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09F" w:rsidRPr="0029709F"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="0029709F" w:rsidRPr="0029709F">
        <w:rPr>
          <w:rFonts w:ascii="Times New Roman" w:hAnsi="Times New Roman" w:cs="Times New Roman"/>
          <w:sz w:val="28"/>
          <w:szCs w:val="28"/>
          <w:lang w:val="uk-UA"/>
        </w:rPr>
        <w:t xml:space="preserve">орган Сумської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ради, відповідальний</w:t>
      </w:r>
      <w:r w:rsidR="0029709F" w:rsidRPr="0029709F">
        <w:rPr>
          <w:rFonts w:ascii="Times New Roman" w:hAnsi="Times New Roman" w:cs="Times New Roman"/>
          <w:sz w:val="28"/>
          <w:szCs w:val="28"/>
          <w:lang w:val="uk-UA"/>
        </w:rPr>
        <w:t xml:space="preserve"> за галуз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29709F" w:rsidRPr="0029709F">
        <w:rPr>
          <w:rFonts w:ascii="Times New Roman" w:hAnsi="Times New Roman" w:cs="Times New Roman"/>
          <w:sz w:val="28"/>
          <w:szCs w:val="28"/>
          <w:lang w:val="uk-UA"/>
        </w:rPr>
        <w:t xml:space="preserve"> (сектор) для публічного інвестування</w:t>
      </w:r>
      <w:r w:rsidR="003B6868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B6868" w:rsidRPr="00A377A5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3B6868" w:rsidRPr="00A377A5">
        <w:rPr>
          <w:rFonts w:ascii="Times New Roman" w:hAnsi="Times New Roman" w:cs="Times New Roman"/>
          <w:i/>
          <w:sz w:val="28"/>
          <w:szCs w:val="28"/>
          <w:lang w:val="uk-UA"/>
        </w:rPr>
        <w:t>п’яти робочих днів</w:t>
      </w:r>
      <w:r w:rsidR="003B6868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29709F">
        <w:rPr>
          <w:rFonts w:ascii="Times New Roman" w:hAnsi="Times New Roman" w:cs="Times New Roman"/>
          <w:sz w:val="28"/>
          <w:szCs w:val="28"/>
          <w:lang w:val="uk-UA"/>
        </w:rPr>
        <w:t>дня</w:t>
      </w:r>
      <w:r w:rsidR="003B6868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868" w:rsidRPr="00165241">
        <w:rPr>
          <w:rFonts w:ascii="Times New Roman" w:hAnsi="Times New Roman" w:cs="Times New Roman"/>
          <w:sz w:val="28"/>
          <w:szCs w:val="28"/>
          <w:lang w:val="uk-UA"/>
        </w:rPr>
        <w:lastRenderedPageBreak/>
        <w:t>отримання зауважень, забезпеч</w:t>
      </w:r>
      <w:r w:rsidR="0029709F">
        <w:rPr>
          <w:rFonts w:ascii="Times New Roman" w:hAnsi="Times New Roman" w:cs="Times New Roman"/>
          <w:sz w:val="28"/>
          <w:szCs w:val="28"/>
          <w:lang w:val="uk-UA"/>
        </w:rPr>
        <w:t>ує доопрацювання пропозиції до С</w:t>
      </w:r>
      <w:r w:rsidR="003B6868" w:rsidRPr="00165241">
        <w:rPr>
          <w:rFonts w:ascii="Times New Roman" w:hAnsi="Times New Roman" w:cs="Times New Roman"/>
          <w:sz w:val="28"/>
          <w:szCs w:val="28"/>
          <w:lang w:val="uk-UA"/>
        </w:rPr>
        <w:t>ередньострокового плану та повторне її подання Управлінню інвестицій відповідно до пункту</w:t>
      </w:r>
      <w:r w:rsidR="002D7D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3.7</w:t>
      </w:r>
      <w:r w:rsidR="003B6868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цього Порядку.</w:t>
      </w:r>
    </w:p>
    <w:p w:rsidR="003B6868" w:rsidRPr="00165241" w:rsidRDefault="003B6868" w:rsidP="003B686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У разі необхідності Управління інвестицій проводить консультації із виконавчими органами </w:t>
      </w:r>
      <w:r w:rsidR="00940B2D">
        <w:rPr>
          <w:rFonts w:ascii="Times New Roman" w:hAnsi="Times New Roman" w:cs="Times New Roman"/>
          <w:sz w:val="28"/>
          <w:szCs w:val="28"/>
          <w:lang w:val="uk-UA"/>
        </w:rPr>
        <w:t xml:space="preserve">Сумської </w:t>
      </w:r>
      <w:r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ради, відповідальними за галузі (сектори) для публічного інвестування, для узгодження позицій щодо пропозиції до 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>Середньостроков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652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10E3" w:rsidRPr="00165241" w:rsidRDefault="00940B2D" w:rsidP="004E1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8F5DF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D7D3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10E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розгляду пропозицій до Середньостроков</w:t>
      </w:r>
      <w:r w:rsidR="004E10E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E10E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4E10E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E10E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із урахуванням вимог пункту </w:t>
      </w:r>
      <w:r>
        <w:rPr>
          <w:rFonts w:ascii="Times New Roman" w:hAnsi="Times New Roman" w:cs="Times New Roman"/>
          <w:sz w:val="28"/>
          <w:szCs w:val="28"/>
          <w:lang w:val="uk-UA"/>
        </w:rPr>
        <w:t>3.6</w:t>
      </w:r>
      <w:r w:rsidR="004E10E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цього Порядку та основних напрямів публічного інвестування Управління інвестицій готує </w:t>
      </w:r>
      <w:proofErr w:type="spellStart"/>
      <w:r w:rsidR="004E10E3" w:rsidRPr="0016524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4E10E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Середньостроков</w:t>
      </w:r>
      <w:r w:rsidR="004E10E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E10E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4E10E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Сумської міської територіальної громади</w:t>
      </w:r>
      <w:r w:rsidR="004E10E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15" w:name="n47"/>
      <w:bookmarkStart w:id="16" w:name="n48"/>
      <w:bookmarkEnd w:id="15"/>
      <w:bookmarkEnd w:id="16"/>
    </w:p>
    <w:p w:rsidR="0029709F" w:rsidRDefault="00940B2D" w:rsidP="00A01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7" w:name="n46"/>
      <w:bookmarkEnd w:id="17"/>
      <w:r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8F5DF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D7D3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F5E01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Після доведення </w:t>
      </w:r>
      <w:r w:rsidR="0097792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Департаментом фінансів Сумської міської ради </w:t>
      </w:r>
      <w:r w:rsidR="0029709F" w:rsidRPr="00165241">
        <w:rPr>
          <w:rFonts w:ascii="Times New Roman" w:hAnsi="Times New Roman" w:cs="Times New Roman"/>
          <w:sz w:val="28"/>
          <w:szCs w:val="28"/>
          <w:lang w:val="uk-UA"/>
        </w:rPr>
        <w:t>інформації щодо орієнтовного граничного сукупного обсягу публічних інвестицій на середньостроковий період</w:t>
      </w:r>
      <w:r w:rsidR="004E1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709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інвестицій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09F" w:rsidRPr="001B7033">
        <w:rPr>
          <w:rFonts w:ascii="Times New Roman" w:hAnsi="Times New Roman" w:cs="Times New Roman"/>
          <w:sz w:val="28"/>
          <w:szCs w:val="28"/>
          <w:lang w:val="uk-UA"/>
        </w:rPr>
        <w:t xml:space="preserve">формує пропозиції щодо </w:t>
      </w:r>
      <w:r w:rsidR="0029709F" w:rsidRPr="004935F9">
        <w:rPr>
          <w:rFonts w:ascii="Times New Roman" w:hAnsi="Times New Roman" w:cs="Times New Roman"/>
          <w:i/>
          <w:sz w:val="28"/>
          <w:szCs w:val="28"/>
          <w:lang w:val="uk-UA"/>
        </w:rPr>
        <w:t>попереднього розподілу</w:t>
      </w:r>
      <w:r w:rsidR="0029709F" w:rsidRPr="001B7033">
        <w:rPr>
          <w:rFonts w:ascii="Times New Roman" w:hAnsi="Times New Roman" w:cs="Times New Roman"/>
          <w:sz w:val="28"/>
          <w:szCs w:val="28"/>
          <w:lang w:val="uk-UA"/>
        </w:rPr>
        <w:t xml:space="preserve"> такого обсягу за основними напрямами публічного інвестування в розрізі</w:t>
      </w:r>
      <w:r w:rsidR="004E10E3">
        <w:rPr>
          <w:rFonts w:ascii="Times New Roman" w:hAnsi="Times New Roman" w:cs="Times New Roman"/>
          <w:sz w:val="28"/>
          <w:szCs w:val="28"/>
          <w:lang w:val="uk-UA"/>
        </w:rPr>
        <w:t xml:space="preserve"> галузей (секторів) для публічного інвестування</w:t>
      </w:r>
      <w:r w:rsidR="0029709F" w:rsidRPr="001B70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7923" w:rsidRPr="00165241" w:rsidRDefault="00977923" w:rsidP="004E10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7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формування пропозицій щодо попереднього розподілу</w:t>
      </w:r>
      <w:r w:rsidRPr="001652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орієнтовного граничного сукупного обсягу публічних інвестицій Управління інвестицій проводить консультації (наради) за участю представників Департаменту фінансів Сумської міської ради,</w:t>
      </w:r>
      <w:r w:rsidR="00493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головних розпорядників бюджетних коштів,</w:t>
      </w:r>
      <w:r w:rsidRPr="001652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інших виконавчих</w:t>
      </w:r>
      <w:r w:rsidR="004E1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органів Сумської міської ради </w:t>
      </w:r>
      <w:r w:rsidR="00493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узгодження позицій </w:t>
      </w:r>
      <w:r w:rsidRPr="001652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обсягу коштів для кожної галузі</w:t>
      </w:r>
      <w:r w:rsidR="004E1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(сектору)</w:t>
      </w:r>
      <w:r w:rsidRPr="001652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B652E" w:rsidRPr="00165241" w:rsidRDefault="004935F9" w:rsidP="00BB6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8F5DF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652E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інвестицій подає на розгляд та схвалення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B652E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нвестиційній раді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територіальної громади </w:t>
      </w:r>
      <w:r w:rsidR="00BB652E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сформований </w:t>
      </w:r>
      <w:proofErr w:type="spellStart"/>
      <w:r w:rsidR="00BB652E" w:rsidRPr="001B703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BB652E" w:rsidRPr="001B70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0E3" w:rsidRPr="004E10E3">
        <w:rPr>
          <w:rFonts w:ascii="Times New Roman" w:hAnsi="Times New Roman" w:cs="Times New Roman"/>
          <w:sz w:val="28"/>
          <w:szCs w:val="28"/>
          <w:lang w:val="uk-UA"/>
        </w:rPr>
        <w:t>Середньострокового плану</w:t>
      </w:r>
      <w:r w:rsidR="00BB652E" w:rsidRPr="001B70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територіальної громади </w:t>
      </w:r>
      <w:r w:rsidR="00BB652E" w:rsidRPr="001B7033">
        <w:rPr>
          <w:rFonts w:ascii="Times New Roman" w:hAnsi="Times New Roman" w:cs="Times New Roman"/>
          <w:sz w:val="28"/>
          <w:szCs w:val="28"/>
          <w:lang w:val="uk-UA"/>
        </w:rPr>
        <w:t xml:space="preserve">із пропозиціями щодо визначення основних напрямів публічного інвестування та орієнтовним розподілом коштів в розрізі </w:t>
      </w:r>
      <w:r w:rsidR="004E10E3">
        <w:rPr>
          <w:rFonts w:ascii="Times New Roman" w:hAnsi="Times New Roman" w:cs="Times New Roman"/>
          <w:sz w:val="28"/>
          <w:szCs w:val="28"/>
          <w:lang w:val="uk-UA"/>
        </w:rPr>
        <w:t>галузей (секторів) для публічного інвестування</w:t>
      </w:r>
      <w:r w:rsidR="00BB652E" w:rsidRPr="001B7033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18" w:name="n49"/>
      <w:bookmarkEnd w:id="18"/>
      <w:r w:rsidR="00BB652E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42F6" w:rsidRDefault="004935F9" w:rsidP="00BB652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8F5DF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D7D3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652E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2F6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інвестицій подає Департаменту фінансів Сумської міської ради </w:t>
      </w:r>
      <w:proofErr w:type="spellStart"/>
      <w:r w:rsidR="00F642F6" w:rsidRPr="0016524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F642F6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Середньостроков</w:t>
      </w:r>
      <w:r w:rsidR="00F642F6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642F6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F642F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642F6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, схвалений </w:t>
      </w:r>
      <w:r w:rsidR="00F642F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642F6" w:rsidRPr="00BB652E">
        <w:rPr>
          <w:rFonts w:ascii="Times New Roman" w:hAnsi="Times New Roman" w:cs="Times New Roman"/>
          <w:sz w:val="28"/>
          <w:szCs w:val="28"/>
          <w:lang w:val="uk-UA"/>
        </w:rPr>
        <w:t>нвестиційною радою</w:t>
      </w:r>
      <w:r w:rsidR="00F642F6">
        <w:rPr>
          <w:rFonts w:ascii="Times New Roman" w:hAnsi="Times New Roman" w:cs="Times New Roman"/>
          <w:sz w:val="28"/>
          <w:szCs w:val="28"/>
          <w:lang w:val="uk-UA"/>
        </w:rPr>
        <w:t xml:space="preserve"> Сумської міської територіальної громади</w:t>
      </w:r>
      <w:r w:rsidR="00F642F6" w:rsidRPr="008F5DF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642F6" w:rsidRPr="008F5DF1">
        <w:rPr>
          <w:rFonts w:ascii="Times New Roman" w:hAnsi="Times New Roman" w:cs="Times New Roman"/>
          <w:i/>
          <w:sz w:val="28"/>
          <w:szCs w:val="28"/>
          <w:lang w:val="uk-UA"/>
        </w:rPr>
        <w:t>не пізніше ніж 01 серпня року</w:t>
      </w:r>
      <w:r w:rsidR="00F642F6" w:rsidRPr="008F5DF1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F642F6">
        <w:rPr>
          <w:rFonts w:ascii="Times New Roman" w:hAnsi="Times New Roman" w:cs="Times New Roman"/>
          <w:sz w:val="28"/>
          <w:szCs w:val="28"/>
          <w:lang w:val="uk-UA"/>
        </w:rPr>
        <w:t xml:space="preserve"> передує плановому.</w:t>
      </w:r>
    </w:p>
    <w:p w:rsidR="00F642F6" w:rsidRDefault="00F642F6" w:rsidP="00BB652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3.15.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65241">
        <w:rPr>
          <w:rFonts w:ascii="Times New Roman" w:hAnsi="Times New Roman" w:cs="Times New Roman"/>
          <w:sz w:val="28"/>
          <w:szCs w:val="28"/>
          <w:lang w:val="uk-UA"/>
        </w:rPr>
        <w:t>роєкт</w:t>
      </w:r>
      <w:proofErr w:type="spellEnd"/>
      <w:r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Середньостроков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85FD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схвалений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B652E">
        <w:rPr>
          <w:rFonts w:ascii="Times New Roman" w:hAnsi="Times New Roman" w:cs="Times New Roman"/>
          <w:sz w:val="28"/>
          <w:szCs w:val="28"/>
          <w:lang w:val="uk-UA"/>
        </w:rPr>
        <w:t>нвестиційною радою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Сумської міської територіальної громади</w:t>
      </w:r>
      <w:r w:rsidR="00E85FD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затверджується Виконавчим комітетом </w:t>
      </w:r>
      <w:r w:rsidR="00E85FDA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ради </w:t>
      </w:r>
      <w:r w:rsidRPr="001B7033">
        <w:rPr>
          <w:rFonts w:ascii="Times New Roman" w:hAnsi="Times New Roman" w:cs="Times New Roman"/>
          <w:sz w:val="28"/>
          <w:szCs w:val="28"/>
          <w:lang w:val="uk-UA"/>
        </w:rPr>
        <w:t>одночасно із схвалення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Pr="001B7033">
        <w:rPr>
          <w:rFonts w:ascii="Times New Roman" w:hAnsi="Times New Roman" w:cs="Times New Roman"/>
          <w:sz w:val="28"/>
          <w:szCs w:val="28"/>
          <w:lang w:val="uk-UA"/>
        </w:rPr>
        <w:t xml:space="preserve">прогнозу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територіальної громади </w:t>
      </w:r>
      <w:r w:rsidRPr="001B7033">
        <w:rPr>
          <w:rFonts w:ascii="Times New Roman" w:hAnsi="Times New Roman" w:cs="Times New Roman"/>
          <w:sz w:val="28"/>
          <w:szCs w:val="28"/>
          <w:lang w:val="uk-UA"/>
        </w:rPr>
        <w:t>на відповідний середньостроковий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71A2" w:rsidRDefault="00F642F6" w:rsidP="005271A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3.16.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Сумської міської ради про </w:t>
      </w:r>
      <w:r w:rsidRPr="0078630A">
        <w:rPr>
          <w:rFonts w:ascii="Times New Roman" w:hAnsi="Times New Roman" w:cs="Times New Roman"/>
          <w:sz w:val="28"/>
          <w:szCs w:val="28"/>
          <w:lang w:val="uk-UA"/>
        </w:rPr>
        <w:t>затвердження Середньострокового</w:t>
      </w:r>
      <w:r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пріоритетних публічних інвестицій Сумської міської територіальної громади розробляє </w:t>
      </w:r>
      <w:r w:rsidR="00312558">
        <w:rPr>
          <w:rFonts w:ascii="Times New Roman" w:hAnsi="Times New Roman" w:cs="Times New Roman"/>
          <w:sz w:val="28"/>
          <w:szCs w:val="28"/>
          <w:lang w:val="uk-UA"/>
        </w:rPr>
        <w:t>Управління інвестицій</w:t>
      </w:r>
      <w:r w:rsidR="000807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7EE4" w:rsidRDefault="003D7EE4" w:rsidP="005271A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5AE" w:rsidRPr="003E45AE" w:rsidRDefault="003E45AE" w:rsidP="003E45A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45A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4. Моніторинг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3E45AE">
        <w:rPr>
          <w:rFonts w:ascii="Times New Roman" w:hAnsi="Times New Roman" w:cs="Times New Roman"/>
          <w:b/>
          <w:sz w:val="28"/>
          <w:szCs w:val="28"/>
          <w:lang w:val="uk-UA"/>
        </w:rPr>
        <w:t>ередньострокового плану</w:t>
      </w:r>
    </w:p>
    <w:p w:rsidR="006422EF" w:rsidRPr="00165241" w:rsidRDefault="009E7643" w:rsidP="00EB46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9" w:name="n51"/>
      <w:bookmarkStart w:id="20" w:name="n57"/>
      <w:bookmarkEnd w:id="19"/>
      <w:bookmarkEnd w:id="20"/>
      <w:r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виконання 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>Середньостроков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визначаються на підставі проведення моніторингу.</w:t>
      </w:r>
      <w:r w:rsidR="00752FA9" w:rsidRPr="00752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FA9" w:rsidRPr="00165241">
        <w:rPr>
          <w:rFonts w:ascii="Times New Roman" w:hAnsi="Times New Roman" w:cs="Times New Roman"/>
          <w:sz w:val="28"/>
          <w:szCs w:val="28"/>
          <w:lang w:val="uk-UA"/>
        </w:rPr>
        <w:t>Моніторинг реалізації Середньостроков</w:t>
      </w:r>
      <w:r w:rsidR="00752FA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52FA9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752FA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52FA9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FA9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територіальної громади </w:t>
      </w:r>
      <w:r w:rsidR="00752FA9" w:rsidRPr="009E7643"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</w:t>
      </w:r>
      <w:r w:rsidR="00752FA9" w:rsidRPr="009E7643">
        <w:rPr>
          <w:rFonts w:ascii="Times New Roman" w:hAnsi="Times New Roman" w:cs="Times New Roman"/>
          <w:i/>
          <w:sz w:val="28"/>
          <w:szCs w:val="28"/>
          <w:lang w:val="uk-UA"/>
        </w:rPr>
        <w:t>не рідше, як раз у півроку</w:t>
      </w:r>
      <w:r w:rsidR="00752FA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52FA9" w:rsidRDefault="009E7643" w:rsidP="00EB46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4.2.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FA9" w:rsidRPr="00165241">
        <w:rPr>
          <w:rFonts w:ascii="Times New Roman" w:hAnsi="Times New Roman" w:cs="Times New Roman"/>
          <w:sz w:val="28"/>
          <w:szCs w:val="28"/>
          <w:lang w:val="uk-UA"/>
        </w:rPr>
        <w:t>Моніторинг реалізації</w:t>
      </w:r>
      <w:r w:rsidR="00752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FA9" w:rsidRPr="00165241">
        <w:rPr>
          <w:rFonts w:ascii="Times New Roman" w:hAnsi="Times New Roman" w:cs="Times New Roman"/>
          <w:sz w:val="28"/>
          <w:szCs w:val="28"/>
          <w:lang w:val="uk-UA"/>
        </w:rPr>
        <w:t>Середньостроков</w:t>
      </w:r>
      <w:r w:rsidR="00752FA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52FA9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752FA9">
        <w:rPr>
          <w:rFonts w:ascii="Times New Roman" w:hAnsi="Times New Roman" w:cs="Times New Roman"/>
          <w:sz w:val="28"/>
          <w:szCs w:val="28"/>
          <w:lang w:val="uk-UA"/>
        </w:rPr>
        <w:t xml:space="preserve">у проводиться шляхом порівняння та аналізу відхилення фактично отриманих значень цільових </w:t>
      </w:r>
      <w:r w:rsidR="0078630A">
        <w:rPr>
          <w:rFonts w:ascii="Times New Roman" w:hAnsi="Times New Roman" w:cs="Times New Roman"/>
          <w:sz w:val="28"/>
          <w:szCs w:val="28"/>
          <w:lang w:val="uk-UA"/>
        </w:rPr>
        <w:t xml:space="preserve">показників </w:t>
      </w:r>
      <w:r w:rsidR="00752FA9">
        <w:rPr>
          <w:rFonts w:ascii="Times New Roman" w:hAnsi="Times New Roman" w:cs="Times New Roman"/>
          <w:sz w:val="28"/>
          <w:szCs w:val="28"/>
          <w:lang w:val="uk-UA"/>
        </w:rPr>
        <w:t>від їх планових значень, визначених Середньостроковим планом.</w:t>
      </w:r>
    </w:p>
    <w:p w:rsidR="002E2808" w:rsidRDefault="009E7643" w:rsidP="00EB46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1" w:name="n61"/>
      <w:bookmarkStart w:id="22" w:name="n62"/>
      <w:bookmarkEnd w:id="21"/>
      <w:bookmarkEnd w:id="22"/>
      <w:r>
        <w:rPr>
          <w:rFonts w:ascii="Times New Roman" w:hAnsi="Times New Roman" w:cs="Times New Roman"/>
          <w:sz w:val="28"/>
          <w:szCs w:val="28"/>
          <w:lang w:val="uk-UA"/>
        </w:rPr>
        <w:t>4.3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2FA9" w:rsidRPr="009E76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FA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52FA9" w:rsidRPr="009E7643">
        <w:rPr>
          <w:rFonts w:ascii="Times New Roman" w:hAnsi="Times New Roman" w:cs="Times New Roman"/>
          <w:sz w:val="28"/>
          <w:szCs w:val="28"/>
          <w:lang w:val="uk-UA"/>
        </w:rPr>
        <w:t>иконавч</w:t>
      </w:r>
      <w:r w:rsidR="00752FA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8630A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="00752FA9" w:rsidRPr="009E7643">
        <w:rPr>
          <w:rFonts w:ascii="Times New Roman" w:hAnsi="Times New Roman" w:cs="Times New Roman"/>
          <w:sz w:val="28"/>
          <w:szCs w:val="28"/>
          <w:lang w:val="uk-UA"/>
        </w:rPr>
        <w:t>и Сумської міської ради, відповідальн</w:t>
      </w:r>
      <w:r w:rsidR="00752FA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52FA9" w:rsidRPr="009E7643">
        <w:rPr>
          <w:rFonts w:ascii="Times New Roman" w:hAnsi="Times New Roman" w:cs="Times New Roman"/>
          <w:sz w:val="28"/>
          <w:szCs w:val="28"/>
          <w:lang w:val="uk-UA"/>
        </w:rPr>
        <w:t xml:space="preserve"> за галуз</w:t>
      </w:r>
      <w:r w:rsidR="0078630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52FA9" w:rsidRPr="009E7643">
        <w:rPr>
          <w:rFonts w:ascii="Times New Roman" w:hAnsi="Times New Roman" w:cs="Times New Roman"/>
          <w:sz w:val="28"/>
          <w:szCs w:val="28"/>
          <w:lang w:val="uk-UA"/>
        </w:rPr>
        <w:t xml:space="preserve"> (сектор</w:t>
      </w:r>
      <w:r w:rsidR="0078630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52FA9" w:rsidRPr="009E7643">
        <w:rPr>
          <w:rFonts w:ascii="Times New Roman" w:hAnsi="Times New Roman" w:cs="Times New Roman"/>
          <w:sz w:val="28"/>
          <w:szCs w:val="28"/>
          <w:lang w:val="uk-UA"/>
        </w:rPr>
        <w:t>) для публічного інвестування</w:t>
      </w:r>
      <w:r w:rsidR="007863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52FA9" w:rsidRPr="009E7643">
        <w:rPr>
          <w:rFonts w:ascii="Times New Roman" w:hAnsi="Times New Roman" w:cs="Times New Roman"/>
          <w:sz w:val="28"/>
          <w:szCs w:val="28"/>
          <w:lang w:val="uk-UA"/>
        </w:rPr>
        <w:t xml:space="preserve"> аналізу</w:t>
      </w:r>
      <w:r w:rsidR="00752FA9">
        <w:rPr>
          <w:rFonts w:ascii="Times New Roman" w:hAnsi="Times New Roman" w:cs="Times New Roman"/>
          <w:sz w:val="28"/>
          <w:szCs w:val="28"/>
          <w:lang w:val="uk-UA"/>
        </w:rPr>
        <w:t>ють рівень</w:t>
      </w:r>
      <w:r w:rsidR="00EB462F">
        <w:rPr>
          <w:rFonts w:ascii="Times New Roman" w:hAnsi="Times New Roman" w:cs="Times New Roman"/>
          <w:sz w:val="28"/>
          <w:szCs w:val="28"/>
          <w:lang w:val="uk-UA"/>
        </w:rPr>
        <w:t xml:space="preserve"> досягнення цільових показників результатів реалізації пріоритетних </w:t>
      </w:r>
      <w:r w:rsidR="00752FA9" w:rsidRPr="009E7643">
        <w:rPr>
          <w:rFonts w:ascii="Times New Roman" w:hAnsi="Times New Roman" w:cs="Times New Roman"/>
          <w:sz w:val="28"/>
          <w:szCs w:val="28"/>
          <w:lang w:val="uk-UA"/>
        </w:rPr>
        <w:t>напрям</w:t>
      </w:r>
      <w:r w:rsidR="00EB462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52FA9" w:rsidRPr="009E7643">
        <w:rPr>
          <w:rFonts w:ascii="Times New Roman" w:hAnsi="Times New Roman" w:cs="Times New Roman"/>
          <w:sz w:val="28"/>
          <w:szCs w:val="28"/>
          <w:lang w:val="uk-UA"/>
        </w:rPr>
        <w:t xml:space="preserve"> публічного інвестування </w:t>
      </w:r>
      <w:r w:rsidR="00EB462F">
        <w:rPr>
          <w:rFonts w:ascii="Times New Roman" w:hAnsi="Times New Roman" w:cs="Times New Roman"/>
          <w:sz w:val="28"/>
          <w:szCs w:val="28"/>
          <w:lang w:val="uk-UA"/>
        </w:rPr>
        <w:t xml:space="preserve">за відповідний період і готують моніторинговий звіт </w:t>
      </w:r>
      <w:r w:rsidR="00EB462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за формою згідно з Додатком </w:t>
      </w:r>
      <w:r w:rsidR="0096549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B462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до цього Порядку</w:t>
      </w:r>
      <w:r w:rsidR="00EB462F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="00752FA9" w:rsidRPr="009E7643">
        <w:rPr>
          <w:rFonts w:ascii="Times New Roman" w:hAnsi="Times New Roman" w:cs="Times New Roman"/>
          <w:sz w:val="28"/>
          <w:szCs w:val="28"/>
          <w:lang w:val="uk-UA"/>
        </w:rPr>
        <w:t>пода</w:t>
      </w:r>
      <w:r w:rsidR="00EB462F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752FA9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інвестицій.</w:t>
      </w:r>
    </w:p>
    <w:p w:rsidR="006422EF" w:rsidRPr="00165241" w:rsidRDefault="00EB462F" w:rsidP="00A01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4.4</w:t>
      </w:r>
      <w:r w:rsidR="002E28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>За результатами аналізу моніторингових звітів, поданих виконавчими органами Сумської міської ради, відповідальними за галуз</w:t>
      </w:r>
      <w:r w:rsidR="0078630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(сектор</w:t>
      </w:r>
      <w:r w:rsidR="0078630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) для публічного інвестування, </w:t>
      </w:r>
      <w:r w:rsidR="007A0FA8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інвестицій </w:t>
      </w:r>
      <w:r w:rsidR="00752FA9">
        <w:rPr>
          <w:rFonts w:ascii="Times New Roman" w:hAnsi="Times New Roman" w:cs="Times New Roman"/>
          <w:sz w:val="28"/>
          <w:szCs w:val="28"/>
          <w:lang w:val="uk-UA"/>
        </w:rPr>
        <w:t>формує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зведений моніторинговий звіт, до якого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може бути 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>дода</w:t>
      </w:r>
      <w:r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висновки, рекомендації чи зауваження щодо результатів виконання 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>Середньостроков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22EF" w:rsidRPr="00165241" w:rsidRDefault="00EB462F" w:rsidP="00A01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3" w:name="n63"/>
      <w:bookmarkEnd w:id="23"/>
      <w:r>
        <w:rPr>
          <w:rFonts w:ascii="Times New Roman" w:hAnsi="Times New Roman" w:cs="Times New Roman"/>
          <w:sz w:val="28"/>
          <w:szCs w:val="28"/>
          <w:lang w:val="uk-UA"/>
        </w:rPr>
        <w:t>4.5.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FA8" w:rsidRPr="00165241">
        <w:rPr>
          <w:rFonts w:ascii="Times New Roman" w:hAnsi="Times New Roman" w:cs="Times New Roman"/>
          <w:sz w:val="28"/>
          <w:szCs w:val="28"/>
          <w:lang w:val="uk-UA"/>
        </w:rPr>
        <w:t>Управління інвестицій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подає зведений моніторинговий звіт </w:t>
      </w:r>
      <w:r w:rsidR="006422EF" w:rsidRPr="00584479">
        <w:rPr>
          <w:rFonts w:ascii="Times New Roman" w:hAnsi="Times New Roman" w:cs="Times New Roman"/>
          <w:sz w:val="28"/>
          <w:szCs w:val="28"/>
          <w:lang w:val="uk-UA"/>
        </w:rPr>
        <w:t xml:space="preserve">на розгляд і схвалення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422EF" w:rsidRPr="00584479">
        <w:rPr>
          <w:rFonts w:ascii="Times New Roman" w:hAnsi="Times New Roman" w:cs="Times New Roman"/>
          <w:sz w:val="28"/>
          <w:szCs w:val="28"/>
          <w:lang w:val="uk-UA"/>
        </w:rPr>
        <w:t>нвестиційній раді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Сумської міської територіальної громади</w:t>
      </w:r>
      <w:r w:rsidR="006422EF" w:rsidRPr="005844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22EF" w:rsidRPr="00165241" w:rsidRDefault="00EB462F" w:rsidP="00A01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4" w:name="n64"/>
      <w:bookmarkStart w:id="25" w:name="n65"/>
      <w:bookmarkEnd w:id="24"/>
      <w:bookmarkEnd w:id="25"/>
      <w:r>
        <w:rPr>
          <w:rFonts w:ascii="Times New Roman" w:hAnsi="Times New Roman" w:cs="Times New Roman"/>
          <w:sz w:val="28"/>
          <w:szCs w:val="28"/>
          <w:lang w:val="uk-UA"/>
        </w:rPr>
        <w:t>4.6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. Моніторинг реалізації 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>Середньостроков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проводитися із використанням Єдиної інформаційної с</w:t>
      </w:r>
      <w:r w:rsidR="008F5DF1">
        <w:rPr>
          <w:rFonts w:ascii="Times New Roman" w:hAnsi="Times New Roman" w:cs="Times New Roman"/>
          <w:sz w:val="28"/>
          <w:szCs w:val="28"/>
          <w:lang w:val="uk-UA"/>
        </w:rPr>
        <w:t>истеми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22EF" w:rsidRPr="00165241" w:rsidRDefault="00EB462F" w:rsidP="00A01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6" w:name="n66"/>
      <w:bookmarkEnd w:id="26"/>
      <w:r>
        <w:rPr>
          <w:rFonts w:ascii="Times New Roman" w:hAnsi="Times New Roman" w:cs="Times New Roman"/>
          <w:sz w:val="28"/>
          <w:szCs w:val="28"/>
          <w:lang w:val="uk-UA"/>
        </w:rPr>
        <w:t>4.7.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моніторингу реалізації 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>Середньостроков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враховуються під час розроблення 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>Середньостроков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86443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A8644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22EF" w:rsidRPr="00165241">
        <w:rPr>
          <w:rFonts w:ascii="Times New Roman" w:hAnsi="Times New Roman" w:cs="Times New Roman"/>
          <w:sz w:val="28"/>
          <w:szCs w:val="28"/>
          <w:lang w:val="uk-UA"/>
        </w:rPr>
        <w:t xml:space="preserve"> на наступний період.</w:t>
      </w:r>
    </w:p>
    <w:p w:rsidR="00584479" w:rsidRDefault="00584479" w:rsidP="007A0FA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5491" w:rsidRDefault="00965491" w:rsidP="007A0FA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F26A4" w:rsidRDefault="00CF26A4" w:rsidP="007A0FA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5491" w:rsidRDefault="00965491" w:rsidP="007A0FA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006"/>
      </w:tblGrid>
      <w:tr w:rsidR="00012E05" w:rsidTr="00012E05">
        <w:tc>
          <w:tcPr>
            <w:tcW w:w="4673" w:type="dxa"/>
          </w:tcPr>
          <w:p w:rsidR="00012E05" w:rsidRDefault="00012E05" w:rsidP="00012E05">
            <w:pPr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52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Начальник управління інвестицій, міжнародної співпраці, охорони довкілля, енергоефективності та кліматичної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52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ітики Сумської міської ради</w:t>
            </w:r>
          </w:p>
        </w:tc>
        <w:tc>
          <w:tcPr>
            <w:tcW w:w="5006" w:type="dxa"/>
          </w:tcPr>
          <w:p w:rsidR="00012E05" w:rsidRDefault="00012E05" w:rsidP="007A0F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12E05" w:rsidRDefault="00012E05" w:rsidP="007A0F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12E05" w:rsidRDefault="00012E05" w:rsidP="007A0F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12E05" w:rsidRDefault="00012E05" w:rsidP="007A0F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12E05" w:rsidRDefault="00012E05" w:rsidP="00012E0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52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настасія</w:t>
            </w:r>
            <w:r w:rsidRPr="001652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ТКАЧОВА</w:t>
            </w:r>
          </w:p>
        </w:tc>
      </w:tr>
    </w:tbl>
    <w:p w:rsidR="00965491" w:rsidRDefault="00965491" w:rsidP="007A0FA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2483" w:rsidRPr="00165241" w:rsidRDefault="00F517E6" w:rsidP="00E36E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</w:p>
    <w:p w:rsidR="00012E05" w:rsidRDefault="00012E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Pr="00165241" w:rsidRDefault="00D36636" w:rsidP="00D36636">
      <w:pPr>
        <w:spacing w:after="0"/>
        <w:ind w:left="524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524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1 до Порядку </w:t>
      </w:r>
      <w:r w:rsidRPr="001652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розроблення та моніторингу реалізації Середньострокового плану пріоритетних публічних інвестицій Сумської міської територіальної громади</w:t>
      </w:r>
      <w:r w:rsidRPr="001652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D36636" w:rsidRPr="00165241" w:rsidRDefault="00D36636" w:rsidP="00D366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6636" w:rsidRPr="00165241" w:rsidRDefault="00D36636" w:rsidP="00D366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524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</w:t>
      </w:r>
      <w:r w:rsidRPr="00165241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 xml:space="preserve">галузей (секторів)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підсекторів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галузей (секторів) </w:t>
      </w:r>
      <w:r w:rsidRPr="0016524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публічного інвестування</w:t>
      </w:r>
    </w:p>
    <w:tbl>
      <w:tblPr>
        <w:tblW w:w="9671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2645"/>
        <w:gridCol w:w="6520"/>
      </w:tblGrid>
      <w:tr w:rsidR="00D36636" w:rsidRPr="005574A5" w:rsidTr="00DA69C7">
        <w:trPr>
          <w:trHeight w:val="31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</w:pPr>
            <w:r w:rsidRPr="005574A5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№ з/п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Сектор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74A5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Підсектор</w:t>
            </w:r>
            <w:proofErr w:type="spellEnd"/>
          </w:p>
        </w:tc>
      </w:tr>
      <w:tr w:rsidR="00D36636" w:rsidRPr="00160971" w:rsidTr="00DA69C7">
        <w:trPr>
          <w:trHeight w:val="315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Громадська безпека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Протидія злочинності, підтримання публічної безпеки та порядку</w:t>
            </w:r>
          </w:p>
        </w:tc>
      </w:tr>
      <w:tr w:rsidR="00D36636" w:rsidRPr="005574A5" w:rsidTr="00DA69C7">
        <w:trPr>
          <w:trHeight w:val="434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захист</w:t>
            </w:r>
          </w:p>
        </w:tc>
      </w:tr>
      <w:tr w:rsidR="00D36636" w:rsidRPr="005574A5" w:rsidTr="00DA69C7">
        <w:trPr>
          <w:trHeight w:val="342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Довкілля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Клімат</w:t>
            </w:r>
          </w:p>
        </w:tc>
      </w:tr>
      <w:tr w:rsidR="00D36636" w:rsidRPr="00160971" w:rsidTr="00DA69C7">
        <w:trPr>
          <w:trHeight w:val="1297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>Охорона вод, розвиток водного господарства, протипаводковий захист, централізованого водопостачання, управління, використання та відтворення поверхневих водних ресурсів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Охорона земель і ґрунтів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Збереження природно-заповідного фонду</w:t>
            </w:r>
          </w:p>
        </w:tc>
      </w:tr>
      <w:tr w:rsidR="00D36636" w:rsidRPr="005574A5" w:rsidTr="00DA69C7">
        <w:trPr>
          <w:trHeight w:val="508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Економічна діяльність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Промисловість</w:t>
            </w:r>
          </w:p>
        </w:tc>
      </w:tr>
      <w:tr w:rsidR="00D36636" w:rsidRPr="00160971" w:rsidTr="00DA69C7">
        <w:trPr>
          <w:trHeight w:val="499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малого та середнього підприємництва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 та фізичне виховання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 та фізичне виховання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житла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Житлові рішення</w:t>
            </w:r>
          </w:p>
        </w:tc>
      </w:tr>
      <w:tr w:rsidR="00D36636" w:rsidRPr="00160971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Енергоефективні рішення для житлових будівель</w:t>
            </w:r>
          </w:p>
        </w:tc>
      </w:tr>
      <w:tr w:rsidR="00D36636" w:rsidRPr="005574A5" w:rsidTr="00DA69C7">
        <w:trPr>
          <w:trHeight w:val="478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Муніципальна інфраструктура та послуги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Водопостачання та водовідведення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Благоустрій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побутовими відходами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Теплопостачання</w:t>
            </w:r>
          </w:p>
        </w:tc>
      </w:tr>
      <w:tr w:rsidR="00D36636" w:rsidRPr="005574A5" w:rsidTr="00DA69C7">
        <w:trPr>
          <w:trHeight w:val="370"/>
        </w:trPr>
        <w:tc>
          <w:tcPr>
            <w:tcW w:w="506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Розбудова та відновлення інфраструктури 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Захисні споруди об'єктів інфраструктури</w:t>
            </w:r>
          </w:p>
        </w:tc>
      </w:tr>
      <w:tr w:rsidR="00D36636" w:rsidRPr="00160971" w:rsidTr="00DA69C7">
        <w:trPr>
          <w:trHeight w:val="751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>Управління відходами від руйнувань, відходами будівництва та знесення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Містобудування</w:t>
            </w:r>
          </w:p>
        </w:tc>
      </w:tr>
      <w:tr w:rsidR="00D36636" w:rsidRPr="005574A5" w:rsidTr="00DA69C7">
        <w:trPr>
          <w:trHeight w:val="342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Туристичні послуги</w:t>
            </w:r>
          </w:p>
        </w:tc>
      </w:tr>
      <w:tr w:rsidR="00D36636" w:rsidRPr="00160971" w:rsidTr="00DA69C7">
        <w:trPr>
          <w:trHeight w:val="315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Автомобільний транспорт та дорожнє господарство</w:t>
            </w:r>
          </w:p>
        </w:tc>
      </w:tr>
      <w:tr w:rsidR="00D36636" w:rsidRPr="005574A5" w:rsidTr="00DA69C7">
        <w:trPr>
          <w:trHeight w:val="429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Громадський транспорт</w:t>
            </w:r>
          </w:p>
        </w:tc>
      </w:tr>
      <w:tr w:rsidR="00D36636" w:rsidRPr="005574A5" w:rsidTr="00DA69C7">
        <w:trPr>
          <w:trHeight w:val="408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сфера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Складні життєві обставини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підтримка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Реабілітаційні послуги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Ветерани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Соціальні послуги</w:t>
            </w:r>
          </w:p>
        </w:tc>
      </w:tr>
      <w:tr w:rsidR="00D36636" w:rsidRPr="00160971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Права та інтереси внутрішньо переміщених осіб та осіб, постраждалих внаслідок збройної агресії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Права та інтереси дітей</w:t>
            </w:r>
          </w:p>
        </w:tc>
      </w:tr>
      <w:tr w:rsidR="00D36636" w:rsidRPr="005574A5" w:rsidTr="00DA69C7">
        <w:trPr>
          <w:trHeight w:val="311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Молодь</w:t>
            </w:r>
          </w:p>
        </w:tc>
      </w:tr>
      <w:tr w:rsidR="00D36636" w:rsidRPr="005574A5" w:rsidTr="00DA69C7">
        <w:trPr>
          <w:trHeight w:val="472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Публічні послуги і </w:t>
            </w:r>
            <w:proofErr w:type="spellStart"/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повʼязана</w:t>
            </w:r>
            <w:proofErr w:type="spellEnd"/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ними </w:t>
            </w:r>
            <w:proofErr w:type="spellStart"/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цифровізація</w:t>
            </w:r>
            <w:proofErr w:type="spellEnd"/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Електронні комунікації</w:t>
            </w:r>
          </w:p>
        </w:tc>
      </w:tr>
      <w:tr w:rsidR="00D36636" w:rsidRPr="005574A5" w:rsidTr="00DA69C7">
        <w:trPr>
          <w:trHeight w:val="466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Цифрові інновації та технології</w:t>
            </w:r>
          </w:p>
        </w:tc>
      </w:tr>
      <w:tr w:rsidR="00D36636" w:rsidRPr="005574A5" w:rsidTr="00DA69C7">
        <w:trPr>
          <w:trHeight w:val="470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Електронне урядування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Державні адміністративні послуги</w:t>
            </w:r>
          </w:p>
        </w:tc>
      </w:tr>
      <w:tr w:rsidR="00D36636" w:rsidRPr="00160971" w:rsidTr="00DA69C7">
        <w:trPr>
          <w:trHeight w:val="315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Культура та інформація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Культурна спадщина та національна пам’ять</w:t>
            </w:r>
          </w:p>
        </w:tc>
      </w:tr>
      <w:tr w:rsidR="00D36636" w:rsidRPr="00160971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 та спеціалізована мистецька освіта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Культурні послуги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 та комунікації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Охорона здоров’я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Громадське здоров'я</w:t>
            </w:r>
          </w:p>
        </w:tc>
      </w:tr>
      <w:tr w:rsidR="00D36636" w:rsidRPr="00160971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Лікарські засоби, медичні вироби, засоби реабілітації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Паліативна допомога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медична допомога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Реабілітація</w:t>
            </w:r>
          </w:p>
        </w:tc>
      </w:tr>
      <w:tr w:rsidR="00D36636" w:rsidRPr="005574A5" w:rsidTr="00DA69C7">
        <w:trPr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Спеціалізована медична допомога</w:t>
            </w:r>
          </w:p>
        </w:tc>
      </w:tr>
      <w:tr w:rsidR="00D36636" w:rsidRPr="005574A5" w:rsidTr="00DA69C7">
        <w:trPr>
          <w:trHeight w:val="358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Освіта і наука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Шкільна освіта</w:t>
            </w:r>
          </w:p>
        </w:tc>
      </w:tr>
      <w:tr w:rsidR="00D36636" w:rsidRPr="005574A5" w:rsidTr="00DA69C7">
        <w:trPr>
          <w:cantSplit/>
          <w:trHeight w:val="315"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Позашкільна освіта</w:t>
            </w:r>
          </w:p>
        </w:tc>
      </w:tr>
      <w:tr w:rsidR="00D36636" w:rsidRPr="005574A5" w:rsidTr="00DA69C7">
        <w:trPr>
          <w:cantSplit/>
          <w:trHeight w:val="3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Дошкільна освіта</w:t>
            </w:r>
          </w:p>
        </w:tc>
      </w:tr>
      <w:tr w:rsidR="00D36636" w:rsidRPr="005574A5" w:rsidTr="00DA69C7">
        <w:trPr>
          <w:cantSplit/>
          <w:trHeight w:val="646"/>
        </w:trPr>
        <w:tc>
          <w:tcPr>
            <w:tcW w:w="506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6636" w:rsidRPr="005574A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557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Професійна освіта, спеціалізована освіта</w:t>
            </w:r>
          </w:p>
        </w:tc>
      </w:tr>
    </w:tbl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006"/>
      </w:tblGrid>
      <w:tr w:rsidR="00D36636" w:rsidTr="00DA69C7">
        <w:tc>
          <w:tcPr>
            <w:tcW w:w="4673" w:type="dxa"/>
          </w:tcPr>
          <w:p w:rsidR="00D36636" w:rsidRDefault="00D36636" w:rsidP="00DA69C7">
            <w:pPr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52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Начальник управління інвестицій, міжнародної співпраці, охорони довкілля, енергоефективності та кліматичної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52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ітики Сумської міської ради</w:t>
            </w:r>
          </w:p>
        </w:tc>
        <w:tc>
          <w:tcPr>
            <w:tcW w:w="5006" w:type="dxa"/>
          </w:tcPr>
          <w:p w:rsidR="00D36636" w:rsidRDefault="00D36636" w:rsidP="00DA69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36636" w:rsidRDefault="00D36636" w:rsidP="00DA69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36636" w:rsidRDefault="00D36636" w:rsidP="00DA69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36636" w:rsidRDefault="00D36636" w:rsidP="00DA69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36636" w:rsidRDefault="00D36636" w:rsidP="00DA69C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52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настасія</w:t>
            </w:r>
            <w:r w:rsidRPr="001652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ТКАЧОВА</w:t>
            </w:r>
          </w:p>
        </w:tc>
      </w:tr>
    </w:tbl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Default="00D36636" w:rsidP="00D36636">
      <w:pPr>
        <w:spacing w:after="0"/>
        <w:ind w:left="893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ectPr w:rsidR="00D36636" w:rsidSect="00E36E78">
          <w:headerReference w:type="first" r:id="rId8"/>
          <w:pgSz w:w="12240" w:h="15840"/>
          <w:pgMar w:top="1134" w:right="850" w:bottom="851" w:left="1701" w:header="708" w:footer="708" w:gutter="0"/>
          <w:cols w:space="708"/>
          <w:docGrid w:linePitch="360"/>
        </w:sectPr>
      </w:pPr>
    </w:p>
    <w:p w:rsidR="00D36636" w:rsidRPr="005530C9" w:rsidRDefault="00D36636" w:rsidP="00D36636">
      <w:pPr>
        <w:spacing w:after="0"/>
        <w:ind w:left="893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055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E055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Порядку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530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розроблення та моніторингу реалізації Середньострокового плану пріоритетних публічних інвестицій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Сумської</w:t>
      </w:r>
      <w:r w:rsidRPr="005530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міської територіальної громади</w:t>
      </w:r>
      <w:r w:rsidRPr="005530C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:rsidR="00D36636" w:rsidRDefault="00D36636" w:rsidP="00D3663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uk-UA"/>
        </w:rPr>
      </w:pPr>
    </w:p>
    <w:p w:rsidR="00D36636" w:rsidRDefault="00D36636" w:rsidP="00D3663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uk-UA"/>
        </w:rPr>
        <w:t xml:space="preserve">ПРОПОЗИЦІЯ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uk-UA"/>
        </w:rPr>
        <w:br/>
        <w:t>до С</w:t>
      </w:r>
      <w:r w:rsidRPr="00DD75D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uk-UA"/>
        </w:rPr>
        <w:t>ередньострокового плану пріоритетних публічних інвестицій</w:t>
      </w:r>
    </w:p>
    <w:p w:rsidR="00D36636" w:rsidRPr="00DD75D3" w:rsidRDefault="00D36636" w:rsidP="00D3663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uk-UA"/>
        </w:rPr>
        <w:t>Сумської</w:t>
      </w:r>
      <w:r w:rsidRPr="00DD75D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uk-UA"/>
        </w:rPr>
        <w:t xml:space="preserve"> міської територіальної громади</w:t>
      </w:r>
    </w:p>
    <w:p w:rsidR="00D36636" w:rsidRPr="00E05524" w:rsidRDefault="00D36636" w:rsidP="00D3663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E05524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______________________________________________________________________________________</w:t>
      </w:r>
    </w:p>
    <w:p w:rsidR="00D36636" w:rsidRPr="00E05524" w:rsidRDefault="00D36636" w:rsidP="00D3663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</w:pP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 xml:space="preserve">(найменування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>виконавчого</w:t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>органу міської ради</w:t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>, відповідального за галузь (сектор) для публічного інвестування)</w:t>
      </w:r>
    </w:p>
    <w:p w:rsidR="00D36636" w:rsidRDefault="00D36636" w:rsidP="00D3663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36636" w:rsidRPr="00E05524" w:rsidRDefault="00D36636" w:rsidP="00D3663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36636" w:rsidRPr="00E05524" w:rsidRDefault="00D36636" w:rsidP="00D3663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E05524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Галузь (сектор) для публічного інвестування ___________________________________ </w:t>
      </w:r>
    </w:p>
    <w:p w:rsidR="00D36636" w:rsidRPr="00D047AD" w:rsidRDefault="00D36636" w:rsidP="00D36636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D047A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Підсектор галузі (сектору) публічного інвестування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*</w:t>
      </w:r>
      <w:r w:rsidRPr="00D047A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 _____________________________</w:t>
      </w:r>
    </w:p>
    <w:tbl>
      <w:tblPr>
        <w:tblW w:w="14832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1886"/>
        <w:gridCol w:w="1657"/>
        <w:gridCol w:w="1660"/>
        <w:gridCol w:w="1034"/>
        <w:gridCol w:w="1984"/>
        <w:gridCol w:w="2127"/>
        <w:gridCol w:w="15"/>
        <w:gridCol w:w="2252"/>
      </w:tblGrid>
      <w:tr w:rsidR="00D36636" w:rsidRPr="00160971" w:rsidTr="00DA69C7">
        <w:trPr>
          <w:cantSplit/>
          <w:trHeight w:val="480"/>
        </w:trPr>
        <w:tc>
          <w:tcPr>
            <w:tcW w:w="22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Напрям публічного інвестування</w:t>
            </w:r>
          </w:p>
        </w:tc>
        <w:tc>
          <w:tcPr>
            <w:tcW w:w="18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Обґрунтування напряму</w:t>
            </w:r>
          </w:p>
        </w:tc>
        <w:tc>
          <w:tcPr>
            <w:tcW w:w="16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9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Пріоритетність напряму</w:t>
            </w:r>
          </w:p>
        </w:tc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Фактичні витрати на реалізацію напряму,</w:t>
            </w:r>
          </w:p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(за наявності)</w:t>
            </w:r>
          </w:p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План на поточний рік)</w:t>
            </w:r>
          </w:p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63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Орієнтовні потреби щодо здійснення</w:t>
            </w:r>
          </w:p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публічних інвестицій,</w:t>
            </w:r>
          </w:p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прогнозовані фінансові потреби на наступні роки, грн</w:t>
            </w:r>
          </w:p>
        </w:tc>
      </w:tr>
      <w:tr w:rsidR="00D36636" w:rsidRPr="00BE4155" w:rsidTr="00DA69C7">
        <w:trPr>
          <w:cantSplit/>
          <w:trHeight w:val="440"/>
        </w:trPr>
        <w:tc>
          <w:tcPr>
            <w:tcW w:w="221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5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Плановий рік</w:t>
            </w:r>
          </w:p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(поточний +1)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Плановий рік</w:t>
            </w:r>
          </w:p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(поточний +2)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Плановий рік (поточний +3)</w:t>
            </w:r>
          </w:p>
        </w:tc>
      </w:tr>
      <w:tr w:rsidR="00D36636" w:rsidRPr="00BE4155" w:rsidTr="00DA69C7">
        <w:trPr>
          <w:trHeight w:val="411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Напрям 1 (назва)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9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D36636" w:rsidRPr="00BE4155" w:rsidTr="00DA69C7">
        <w:trPr>
          <w:trHeight w:val="349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Напрям …. (назва)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9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1" w:firstLine="8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D36636" w:rsidRPr="00BE4155" w:rsidTr="00DA69C7">
        <w:trPr>
          <w:trHeight w:val="60"/>
        </w:trPr>
        <w:tc>
          <w:tcPr>
            <w:tcW w:w="148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12"/>
                <w:szCs w:val="12"/>
                <w:lang w:val="uk-UA"/>
              </w:rPr>
            </w:pPr>
          </w:p>
        </w:tc>
      </w:tr>
      <w:tr w:rsidR="00D36636" w:rsidRPr="00BE4155" w:rsidTr="00DA69C7">
        <w:trPr>
          <w:cantSplit/>
          <w:trHeight w:val="343"/>
        </w:trPr>
        <w:tc>
          <w:tcPr>
            <w:tcW w:w="57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9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Стратегічний документ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Посилання на документ</w:t>
            </w:r>
          </w:p>
        </w:tc>
        <w:tc>
          <w:tcPr>
            <w:tcW w:w="63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Операційний рівень, пов'язане завдання</w:t>
            </w:r>
          </w:p>
        </w:tc>
      </w:tr>
      <w:tr w:rsidR="00D36636" w:rsidRPr="00BE4155" w:rsidTr="00DA69C7">
        <w:trPr>
          <w:cantSplit/>
          <w:trHeight w:val="223"/>
        </w:trPr>
        <w:tc>
          <w:tcPr>
            <w:tcW w:w="5760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Номер завдання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Назва завдання</w:t>
            </w:r>
          </w:p>
        </w:tc>
      </w:tr>
      <w:tr w:rsidR="00D36636" w:rsidRPr="00BE4155" w:rsidTr="00DA69C7">
        <w:trPr>
          <w:trHeight w:val="329"/>
        </w:trPr>
        <w:tc>
          <w:tcPr>
            <w:tcW w:w="5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9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D36636" w:rsidRPr="00160971" w:rsidTr="00DA69C7">
        <w:trPr>
          <w:trHeight w:val="440"/>
        </w:trPr>
        <w:tc>
          <w:tcPr>
            <w:tcW w:w="148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Цільові показники</w:t>
            </w:r>
          </w:p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(уточнюють кінцевий результат, який хочемо отримати за результатом напряму)</w:t>
            </w:r>
          </w:p>
        </w:tc>
      </w:tr>
      <w:tr w:rsidR="00D36636" w:rsidRPr="00160971" w:rsidTr="00DA69C7">
        <w:trPr>
          <w:trHeight w:val="441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Назва цільового показника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9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Базове значення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Одиниця вимірювання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Джерело показника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Цільове значення на</w:t>
            </w:r>
          </w:p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плановий рік</w:t>
            </w:r>
          </w:p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(поточний +1)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Цільове значення</w:t>
            </w:r>
            <w:r w:rsidRPr="00BE4155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</w:t>
            </w:r>
          </w:p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плановий рік</w:t>
            </w:r>
          </w:p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(поточний +2)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Цільове значення на</w:t>
            </w:r>
          </w:p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плановий рік</w:t>
            </w:r>
          </w:p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(поточний +3)</w:t>
            </w:r>
          </w:p>
        </w:tc>
      </w:tr>
      <w:tr w:rsidR="00D36636" w:rsidRPr="00160971" w:rsidTr="00DA69C7">
        <w:trPr>
          <w:trHeight w:val="397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9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D36636" w:rsidRPr="00160971" w:rsidTr="00DA69C7">
        <w:trPr>
          <w:trHeight w:val="169"/>
        </w:trPr>
        <w:tc>
          <w:tcPr>
            <w:tcW w:w="148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12"/>
                <w:szCs w:val="12"/>
                <w:lang w:val="uk-UA"/>
              </w:rPr>
            </w:pPr>
          </w:p>
        </w:tc>
      </w:tr>
      <w:tr w:rsidR="00D36636" w:rsidRPr="00160971" w:rsidTr="00DA69C7">
        <w:trPr>
          <w:trHeight w:val="305"/>
        </w:trPr>
        <w:tc>
          <w:tcPr>
            <w:tcW w:w="148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Критерії відповідності, які задають параметри входження для проектів та програм до напряму</w:t>
            </w:r>
          </w:p>
        </w:tc>
      </w:tr>
      <w:tr w:rsidR="00D36636" w:rsidRPr="00BE4155" w:rsidTr="00DA69C7">
        <w:trPr>
          <w:trHeight w:val="440"/>
        </w:trPr>
        <w:tc>
          <w:tcPr>
            <w:tcW w:w="5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9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Критерій відповідності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Варіанти відповіді до критеріїв</w:t>
            </w:r>
          </w:p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(так/ні)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Рівні застосування: ПІП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Рівні застосування: </w:t>
            </w:r>
          </w:p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Програма</w:t>
            </w:r>
          </w:p>
        </w:tc>
      </w:tr>
      <w:tr w:rsidR="00D36636" w:rsidRPr="00BE4155" w:rsidTr="00DA69C7">
        <w:trPr>
          <w:trHeight w:val="237"/>
        </w:trPr>
        <w:tc>
          <w:tcPr>
            <w:tcW w:w="5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9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D36636" w:rsidRPr="00BE4155" w:rsidTr="00DA69C7">
        <w:trPr>
          <w:trHeight w:val="60"/>
        </w:trPr>
        <w:tc>
          <w:tcPr>
            <w:tcW w:w="148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12"/>
                <w:szCs w:val="12"/>
                <w:lang w:val="uk-UA"/>
              </w:rPr>
            </w:pPr>
          </w:p>
        </w:tc>
      </w:tr>
      <w:tr w:rsidR="00D36636" w:rsidRPr="00160971" w:rsidTr="00DA69C7">
        <w:trPr>
          <w:trHeight w:val="303"/>
        </w:trPr>
        <w:tc>
          <w:tcPr>
            <w:tcW w:w="148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Секторально</w:t>
            </w:r>
            <w:proofErr w:type="spellEnd"/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-специфічні та контрольні питання</w:t>
            </w:r>
          </w:p>
        </w:tc>
      </w:tr>
      <w:tr w:rsidR="00D36636" w:rsidRPr="00160971" w:rsidTr="00DA69C7">
        <w:trPr>
          <w:trHeight w:val="440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Секторальне питання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Рівні застосування: ПІП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9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Рівні застосування: Програма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Контрольне питання 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Варіанти відповідей до контрольного питання 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Контрольне питання 2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Варіанти відповідей до контрольного питання 2</w:t>
            </w:r>
          </w:p>
        </w:tc>
      </w:tr>
      <w:tr w:rsidR="00D36636" w:rsidRPr="00160971" w:rsidTr="00DA69C7">
        <w:trPr>
          <w:trHeight w:val="246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9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D36636" w:rsidRPr="00160971" w:rsidTr="00DA69C7">
        <w:trPr>
          <w:trHeight w:val="109"/>
        </w:trPr>
        <w:tc>
          <w:tcPr>
            <w:tcW w:w="148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12"/>
                <w:szCs w:val="12"/>
                <w:lang w:val="uk-UA"/>
              </w:rPr>
            </w:pPr>
          </w:p>
        </w:tc>
      </w:tr>
      <w:tr w:rsidR="00D36636" w:rsidRPr="00160971" w:rsidTr="00DA69C7">
        <w:trPr>
          <w:trHeight w:val="271"/>
        </w:trPr>
        <w:tc>
          <w:tcPr>
            <w:tcW w:w="148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E41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Обґрунтування розрахунків орієнтовних фінансових потреб</w:t>
            </w:r>
          </w:p>
        </w:tc>
      </w:tr>
      <w:tr w:rsidR="00D36636" w:rsidRPr="00160971" w:rsidTr="00DA69C7">
        <w:trPr>
          <w:trHeight w:val="276"/>
        </w:trPr>
        <w:tc>
          <w:tcPr>
            <w:tcW w:w="148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36" w:rsidRPr="00BE4155" w:rsidRDefault="00D36636" w:rsidP="00DA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D36636" w:rsidRPr="00160971" w:rsidRDefault="00D36636" w:rsidP="00D36636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rPr>
          <w:color w:val="000000"/>
          <w:sz w:val="28"/>
          <w:szCs w:val="28"/>
          <w:lang w:val="ru-RU"/>
        </w:rPr>
      </w:pPr>
    </w:p>
    <w:p w:rsidR="00D36636" w:rsidRPr="00E05524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t xml:space="preserve"> ______________________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_____</w:t>
      </w: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_______</w:t>
      </w: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 xml:space="preserve">                 </w:t>
      </w: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  <w:t xml:space="preserve">_______________ </w:t>
      </w: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  <w:t>____________________________________</w:t>
      </w:r>
    </w:p>
    <w:p w:rsidR="00D36636" w:rsidRPr="00E05524" w:rsidRDefault="00D36636" w:rsidP="00D36636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</w:pP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 xml:space="preserve">      (найменування посади керівника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 xml:space="preserve">                </w:t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 xml:space="preserve">                 (підпис) </w:t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  <w:t xml:space="preserve">                         (власне ім’я, прізвище)</w:t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br/>
        <w:t xml:space="preserve">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>виконавчого органуміської ради</w:t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 xml:space="preserve">) </w:t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</w:p>
    <w:p w:rsidR="00D36636" w:rsidRDefault="00D36636" w:rsidP="00D36636">
      <w:pPr>
        <w:spacing w:after="0"/>
        <w:jc w:val="both"/>
        <w:rPr>
          <w:rFonts w:ascii="Times New Roman" w:hAnsi="Times New Roman" w:cs="Times New Roman"/>
          <w:noProof/>
          <w:lang w:val="uk-UA" w:eastAsia="uk-UA"/>
        </w:rPr>
      </w:pPr>
    </w:p>
    <w:p w:rsidR="00D36636" w:rsidRDefault="00D36636" w:rsidP="00D36636">
      <w:pPr>
        <w:spacing w:after="0"/>
        <w:jc w:val="both"/>
        <w:rPr>
          <w:rFonts w:ascii="Times New Roman" w:hAnsi="Times New Roman" w:cs="Times New Roman"/>
          <w:noProof/>
          <w:lang w:val="uk-UA" w:eastAsia="uk-UA"/>
        </w:rPr>
      </w:pPr>
      <w:r w:rsidRPr="005A4D14">
        <w:rPr>
          <w:rFonts w:ascii="Times New Roman" w:hAnsi="Times New Roman" w:cs="Times New Roman"/>
          <w:noProof/>
          <w:lang w:val="uk-UA" w:eastAsia="uk-UA"/>
        </w:rPr>
        <w:t>Примітка* Пі</w:t>
      </w:r>
      <w:r>
        <w:rPr>
          <w:rFonts w:ascii="Times New Roman" w:hAnsi="Times New Roman" w:cs="Times New Roman"/>
          <w:noProof/>
          <w:lang w:val="uk-UA" w:eastAsia="uk-UA"/>
        </w:rPr>
        <w:t>д час формування Пропозиції до С</w:t>
      </w:r>
      <w:r w:rsidRPr="005A4D14">
        <w:rPr>
          <w:rFonts w:ascii="Times New Roman" w:hAnsi="Times New Roman" w:cs="Times New Roman"/>
          <w:noProof/>
          <w:lang w:val="uk-UA" w:eastAsia="uk-UA"/>
        </w:rPr>
        <w:t>ередньострокового плану регіону (територіальної громади) таблиця</w:t>
      </w:r>
      <w:r>
        <w:rPr>
          <w:rFonts w:ascii="Times New Roman" w:hAnsi="Times New Roman" w:cs="Times New Roman"/>
          <w:noProof/>
          <w:lang w:val="uk-UA" w:eastAsia="uk-UA"/>
        </w:rPr>
        <w:t xml:space="preserve"> </w:t>
      </w:r>
      <w:r w:rsidRPr="005A4D14">
        <w:rPr>
          <w:rFonts w:ascii="Times New Roman" w:hAnsi="Times New Roman" w:cs="Times New Roman"/>
          <w:noProof/>
          <w:lang w:val="uk-UA" w:eastAsia="uk-UA"/>
        </w:rPr>
        <w:t>заповнюються відповідно до кількості підсекторів у кожній галузі (секторі) для публічного інвестування. У разі</w:t>
      </w:r>
      <w:r>
        <w:rPr>
          <w:rFonts w:ascii="Times New Roman" w:hAnsi="Times New Roman" w:cs="Times New Roman"/>
          <w:noProof/>
          <w:lang w:val="uk-UA" w:eastAsia="uk-UA"/>
        </w:rPr>
        <w:t xml:space="preserve"> </w:t>
      </w:r>
      <w:r w:rsidRPr="005A4D14">
        <w:rPr>
          <w:rFonts w:ascii="Times New Roman" w:hAnsi="Times New Roman" w:cs="Times New Roman"/>
          <w:noProof/>
          <w:lang w:val="uk-UA" w:eastAsia="uk-UA"/>
        </w:rPr>
        <w:t>наявності двох і більше підсекторів необхідно заповнити таблицю для кожного підсектора окремо.</w:t>
      </w:r>
    </w:p>
    <w:p w:rsidR="00D36636" w:rsidRPr="005A4D14" w:rsidRDefault="00D36636" w:rsidP="00D36636">
      <w:pPr>
        <w:spacing w:after="0"/>
        <w:jc w:val="both"/>
        <w:rPr>
          <w:rFonts w:ascii="Times New Roman" w:hAnsi="Times New Roman" w:cs="Times New Roman"/>
          <w:noProof/>
          <w:lang w:val="uk-UA" w:eastAsia="uk-UA"/>
        </w:rPr>
      </w:pPr>
    </w:p>
    <w:p w:rsidR="00D36636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* Ставиться відмітка “о” навпроти напрямів публічного інвестування, які на момент подачі пропозиції визначені структурним підпрозділом, відповідальним за галузь (сектор) для публічного інвестування, як основні.</w:t>
      </w:r>
    </w:p>
    <w:p w:rsidR="00D36636" w:rsidRPr="00C41888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D36636" w:rsidRPr="00C41888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D36636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D36636" w:rsidRPr="00C41888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3"/>
        <w:gridCol w:w="8562"/>
      </w:tblGrid>
      <w:tr w:rsidR="00D36636" w:rsidTr="00DA69C7">
        <w:tc>
          <w:tcPr>
            <w:tcW w:w="5529" w:type="dxa"/>
            <w:hideMark/>
          </w:tcPr>
          <w:p w:rsidR="00D36636" w:rsidRDefault="00D36636" w:rsidP="00DA69C7">
            <w:pPr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Начальник управління інвестицій, міжнародної співпраці, охорони довкілля, енергоефективності та кліматичної політики Сумської міської ради</w:t>
            </w:r>
          </w:p>
        </w:tc>
        <w:tc>
          <w:tcPr>
            <w:tcW w:w="9213" w:type="dxa"/>
          </w:tcPr>
          <w:p w:rsidR="00D36636" w:rsidRDefault="00D36636" w:rsidP="00DA69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36636" w:rsidRDefault="00D36636" w:rsidP="00DA69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36636" w:rsidRDefault="00D36636" w:rsidP="00DA69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36636" w:rsidRDefault="00D36636" w:rsidP="00DA69C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Анастасія ТКАЧОВА</w:t>
            </w:r>
          </w:p>
        </w:tc>
      </w:tr>
    </w:tbl>
    <w:p w:rsidR="00D36636" w:rsidRDefault="00D36636" w:rsidP="00D3663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6636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36636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36636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36636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36636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36636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36636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36636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36636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36636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36636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36636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36636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36636" w:rsidRPr="005530C9" w:rsidRDefault="00D36636" w:rsidP="00D36636">
      <w:pPr>
        <w:spacing w:after="0"/>
        <w:ind w:left="893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055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E055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Порядку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530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розроблення та моніторингу реалізації Середньострокового плану пріоритетних публічних інвестицій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Сумської</w:t>
      </w:r>
      <w:r w:rsidRPr="005530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міської територіальної громади</w:t>
      </w:r>
      <w:r w:rsidRPr="005530C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:rsidR="00D36636" w:rsidRPr="00E05524" w:rsidRDefault="00D36636" w:rsidP="00D3663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9E400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uk-UA"/>
        </w:rPr>
        <w:t>МОНІТОРИНГОВИЙ ЗВІТ</w:t>
      </w:r>
      <w:r w:rsidRPr="00E05524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br/>
        <w:t>_____________________________________________________________________</w:t>
      </w:r>
    </w:p>
    <w:p w:rsidR="00D36636" w:rsidRPr="00E05524" w:rsidRDefault="00D36636" w:rsidP="00D36636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</w:pP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 xml:space="preserve">(найменування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>виконавчого органу міської ради</w:t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 xml:space="preserve">, відповідального за галузь (сектор) для публічного інвестування) </w:t>
      </w:r>
    </w:p>
    <w:p w:rsidR="00D36636" w:rsidRPr="00E05524" w:rsidRDefault="00D36636" w:rsidP="00D36636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E05524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Період звітування з ___________ до ____________</w:t>
      </w:r>
    </w:p>
    <w:p w:rsidR="00D36636" w:rsidRDefault="00D36636" w:rsidP="00D366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D36636" w:rsidRDefault="00D36636" w:rsidP="00D366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E05524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Галузь (сектор)</w:t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 xml:space="preserve"> </w:t>
      </w:r>
      <w:r w:rsidRPr="00E05524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для публічного інвестування _____________________________________ </w:t>
      </w:r>
    </w:p>
    <w:p w:rsidR="00D36636" w:rsidRPr="00E05524" w:rsidRDefault="00D36636" w:rsidP="00D366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Найменування стратегічного документа _________________________________________</w:t>
      </w:r>
    </w:p>
    <w:p w:rsidR="00D36636" w:rsidRPr="00E05524" w:rsidRDefault="00D36636" w:rsidP="00D366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E05524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Пріоритетний напрям публічного інвестування ___________________________________</w:t>
      </w:r>
    </w:p>
    <w:p w:rsidR="00D36636" w:rsidRPr="00E05524" w:rsidRDefault="00D36636" w:rsidP="00D36636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E05524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Підсектор галузі (сектору) для публічного інвестування ____________________________</w:t>
      </w:r>
    </w:p>
    <w:tbl>
      <w:tblPr>
        <w:tblStyle w:val="21"/>
        <w:tblW w:w="5000" w:type="pct"/>
        <w:tblLook w:val="0600" w:firstRow="0" w:lastRow="0" w:firstColumn="0" w:lastColumn="0" w:noHBand="1" w:noVBand="1"/>
      </w:tblPr>
      <w:tblGrid>
        <w:gridCol w:w="2960"/>
        <w:gridCol w:w="3101"/>
        <w:gridCol w:w="2966"/>
        <w:gridCol w:w="4818"/>
      </w:tblGrid>
      <w:tr w:rsidR="00D36636" w:rsidRPr="009E400B" w:rsidTr="00DA69C7">
        <w:tc>
          <w:tcPr>
            <w:tcW w:w="3260" w:type="pct"/>
            <w:gridSpan w:val="3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Обсяг залучених публічних коштів (тис. гривень)</w:t>
            </w:r>
          </w:p>
        </w:tc>
        <w:tc>
          <w:tcPr>
            <w:tcW w:w="1740" w:type="pct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Статус за напрямом</w:t>
            </w:r>
          </w:p>
        </w:tc>
      </w:tr>
      <w:tr w:rsidR="00D36636" w:rsidRPr="009E400B" w:rsidTr="00DA69C7">
        <w:tc>
          <w:tcPr>
            <w:tcW w:w="1069" w:type="pct"/>
            <w:vAlign w:val="center"/>
            <w:hideMark/>
          </w:tcPr>
          <w:p w:rsidR="00D36636" w:rsidRPr="009E400B" w:rsidRDefault="00D36636" w:rsidP="00DA69C7">
            <w:pPr>
              <w:spacing w:before="120" w:after="24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Планове значення станом на ____ півріччя</w:t>
            </w:r>
          </w:p>
        </w:tc>
        <w:tc>
          <w:tcPr>
            <w:tcW w:w="1120" w:type="pct"/>
            <w:vAlign w:val="center"/>
            <w:hideMark/>
          </w:tcPr>
          <w:p w:rsidR="00D36636" w:rsidRPr="009E400B" w:rsidRDefault="00D36636" w:rsidP="00DA69C7">
            <w:pPr>
              <w:spacing w:before="120" w:after="24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Фактичне значення станом на _____ півріччя</w:t>
            </w:r>
          </w:p>
        </w:tc>
        <w:tc>
          <w:tcPr>
            <w:tcW w:w="1071" w:type="pct"/>
            <w:vAlign w:val="center"/>
            <w:hideMark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Причина відхилення</w:t>
            </w:r>
          </w:p>
        </w:tc>
        <w:tc>
          <w:tcPr>
            <w:tcW w:w="1740" w:type="pct"/>
          </w:tcPr>
          <w:p w:rsidR="00D36636" w:rsidRPr="009E400B" w:rsidRDefault="00D36636" w:rsidP="00DA69C7">
            <w:pPr>
              <w:spacing w:before="120"/>
              <w:jc w:val="both"/>
              <w:rPr>
                <w:noProof/>
                <w:sz w:val="24"/>
                <w:szCs w:val="24"/>
              </w:rPr>
            </w:pPr>
          </w:p>
        </w:tc>
      </w:tr>
      <w:tr w:rsidR="00D36636" w:rsidRPr="009E400B" w:rsidTr="00DA69C7">
        <w:tc>
          <w:tcPr>
            <w:tcW w:w="1069" w:type="pct"/>
          </w:tcPr>
          <w:p w:rsidR="00D36636" w:rsidRPr="009E400B" w:rsidRDefault="00D36636" w:rsidP="00DA69C7">
            <w:pPr>
              <w:spacing w:before="12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120" w:type="pct"/>
          </w:tcPr>
          <w:p w:rsidR="00D36636" w:rsidRPr="009E400B" w:rsidRDefault="00D36636" w:rsidP="00DA69C7">
            <w:pPr>
              <w:spacing w:before="12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071" w:type="pct"/>
          </w:tcPr>
          <w:p w:rsidR="00D36636" w:rsidRPr="009E400B" w:rsidRDefault="00D36636" w:rsidP="00DA69C7">
            <w:pPr>
              <w:spacing w:before="12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740" w:type="pct"/>
          </w:tcPr>
          <w:p w:rsidR="00D36636" w:rsidRPr="009E400B" w:rsidRDefault="00D36636" w:rsidP="00DA69C7">
            <w:pPr>
              <w:spacing w:before="120"/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D36636" w:rsidRDefault="00D36636" w:rsidP="00D3663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val="uk-UA" w:eastAsia="uk-UA"/>
        </w:rPr>
      </w:pPr>
    </w:p>
    <w:p w:rsidR="00D36636" w:rsidRPr="00E05524" w:rsidRDefault="00D36636" w:rsidP="00D3663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val="uk-UA" w:eastAsia="uk-UA"/>
        </w:rPr>
      </w:pPr>
    </w:p>
    <w:tbl>
      <w:tblPr>
        <w:tblStyle w:val="21"/>
        <w:tblW w:w="5000" w:type="pct"/>
        <w:tblLook w:val="0600" w:firstRow="0" w:lastRow="0" w:firstColumn="0" w:lastColumn="0" w:noHBand="1" w:noVBand="1"/>
      </w:tblPr>
      <w:tblGrid>
        <w:gridCol w:w="2204"/>
        <w:gridCol w:w="2066"/>
        <w:gridCol w:w="1974"/>
        <w:gridCol w:w="2140"/>
        <w:gridCol w:w="2127"/>
        <w:gridCol w:w="1758"/>
        <w:gridCol w:w="1576"/>
      </w:tblGrid>
      <w:tr w:rsidR="00D36636" w:rsidRPr="009E400B" w:rsidTr="00DA69C7">
        <w:tc>
          <w:tcPr>
            <w:tcW w:w="5000" w:type="pct"/>
            <w:gridSpan w:val="7"/>
            <w:hideMark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Найменування цільового показника 1</w:t>
            </w:r>
          </w:p>
        </w:tc>
      </w:tr>
      <w:tr w:rsidR="00D36636" w:rsidRPr="009E400B" w:rsidTr="00DA69C7">
        <w:tc>
          <w:tcPr>
            <w:tcW w:w="796" w:type="pct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Базове значення</w:t>
            </w:r>
          </w:p>
        </w:tc>
        <w:tc>
          <w:tcPr>
            <w:tcW w:w="746" w:type="pct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Джерело показника</w:t>
            </w:r>
          </w:p>
        </w:tc>
        <w:tc>
          <w:tcPr>
            <w:tcW w:w="713" w:type="pct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73" w:type="pct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Значення на період 2</w:t>
            </w:r>
          </w:p>
        </w:tc>
        <w:tc>
          <w:tcPr>
            <w:tcW w:w="768" w:type="pct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Значення на період 3</w:t>
            </w:r>
          </w:p>
        </w:tc>
        <w:tc>
          <w:tcPr>
            <w:tcW w:w="635" w:type="pct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Значення на період 4</w:t>
            </w:r>
          </w:p>
        </w:tc>
        <w:tc>
          <w:tcPr>
            <w:tcW w:w="569" w:type="pct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Значення на період n</w:t>
            </w:r>
          </w:p>
        </w:tc>
      </w:tr>
      <w:tr w:rsidR="00D36636" w:rsidRPr="009E400B" w:rsidTr="00DA69C7">
        <w:tc>
          <w:tcPr>
            <w:tcW w:w="796" w:type="pct"/>
            <w:vMerge w:val="restar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46" w:type="pct"/>
            <w:vMerge w:val="restar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13" w:type="pct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Планове значення</w:t>
            </w:r>
          </w:p>
        </w:tc>
        <w:tc>
          <w:tcPr>
            <w:tcW w:w="773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68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635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569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</w:tr>
      <w:tr w:rsidR="00D36636" w:rsidRPr="009E400B" w:rsidTr="00DA69C7">
        <w:tc>
          <w:tcPr>
            <w:tcW w:w="796" w:type="pct"/>
            <w:vMerge/>
            <w:hideMark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13" w:type="pct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Фактичне значення</w:t>
            </w:r>
          </w:p>
        </w:tc>
        <w:tc>
          <w:tcPr>
            <w:tcW w:w="773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68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635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569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</w:tr>
      <w:tr w:rsidR="00D36636" w:rsidRPr="009E400B" w:rsidTr="00DA69C7">
        <w:tc>
          <w:tcPr>
            <w:tcW w:w="5000" w:type="pct"/>
            <w:gridSpan w:val="7"/>
            <w:hideMark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Найменування цільового показника 2</w:t>
            </w:r>
          </w:p>
        </w:tc>
      </w:tr>
      <w:tr w:rsidR="00D36636" w:rsidRPr="009E400B" w:rsidTr="00DA69C7">
        <w:tc>
          <w:tcPr>
            <w:tcW w:w="796" w:type="pct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Базове значення</w:t>
            </w:r>
          </w:p>
        </w:tc>
        <w:tc>
          <w:tcPr>
            <w:tcW w:w="746" w:type="pct"/>
            <w:hideMark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Джерело показника</w:t>
            </w:r>
          </w:p>
        </w:tc>
        <w:tc>
          <w:tcPr>
            <w:tcW w:w="713" w:type="pct"/>
            <w:hideMark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73" w:type="pct"/>
            <w:hideMark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Значення на період 2</w:t>
            </w:r>
          </w:p>
        </w:tc>
        <w:tc>
          <w:tcPr>
            <w:tcW w:w="768" w:type="pct"/>
            <w:hideMark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Значення на період 3</w:t>
            </w:r>
          </w:p>
        </w:tc>
        <w:tc>
          <w:tcPr>
            <w:tcW w:w="635" w:type="pct"/>
            <w:hideMark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Значення на період 4</w:t>
            </w:r>
          </w:p>
        </w:tc>
        <w:tc>
          <w:tcPr>
            <w:tcW w:w="569" w:type="pct"/>
            <w:hideMark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Значення на період n</w:t>
            </w:r>
          </w:p>
        </w:tc>
      </w:tr>
      <w:tr w:rsidR="00D36636" w:rsidRPr="009E400B" w:rsidTr="00DA69C7">
        <w:tc>
          <w:tcPr>
            <w:tcW w:w="796" w:type="pct"/>
            <w:vMerge w:val="restart"/>
            <w:hideMark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46" w:type="pct"/>
            <w:vMerge w:val="restar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13" w:type="pct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Планове значення</w:t>
            </w:r>
          </w:p>
        </w:tc>
        <w:tc>
          <w:tcPr>
            <w:tcW w:w="773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68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635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569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</w:tr>
      <w:tr w:rsidR="00D36636" w:rsidRPr="009E400B" w:rsidTr="00DA69C7">
        <w:tc>
          <w:tcPr>
            <w:tcW w:w="796" w:type="pct"/>
            <w:vMerge/>
            <w:hideMark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13" w:type="pct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Фактичне значення</w:t>
            </w:r>
          </w:p>
        </w:tc>
        <w:tc>
          <w:tcPr>
            <w:tcW w:w="773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68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635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569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</w:tr>
      <w:tr w:rsidR="00D36636" w:rsidRPr="009E400B" w:rsidTr="00DA69C7">
        <w:tc>
          <w:tcPr>
            <w:tcW w:w="5000" w:type="pct"/>
            <w:gridSpan w:val="7"/>
            <w:hideMark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Найменування цільового показника 3</w:t>
            </w:r>
          </w:p>
        </w:tc>
      </w:tr>
      <w:tr w:rsidR="00D36636" w:rsidRPr="009E400B" w:rsidTr="00DA69C7">
        <w:tc>
          <w:tcPr>
            <w:tcW w:w="796" w:type="pct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Базове значення</w:t>
            </w:r>
          </w:p>
        </w:tc>
        <w:tc>
          <w:tcPr>
            <w:tcW w:w="746" w:type="pct"/>
            <w:hideMark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Джерело показника</w:t>
            </w:r>
          </w:p>
        </w:tc>
        <w:tc>
          <w:tcPr>
            <w:tcW w:w="713" w:type="pct"/>
            <w:hideMark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73" w:type="pct"/>
            <w:hideMark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Значення на період 2</w:t>
            </w:r>
          </w:p>
        </w:tc>
        <w:tc>
          <w:tcPr>
            <w:tcW w:w="768" w:type="pct"/>
            <w:hideMark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Значення на період 3</w:t>
            </w:r>
          </w:p>
        </w:tc>
        <w:tc>
          <w:tcPr>
            <w:tcW w:w="635" w:type="pct"/>
            <w:hideMark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Значення на період 4</w:t>
            </w:r>
          </w:p>
        </w:tc>
        <w:tc>
          <w:tcPr>
            <w:tcW w:w="569" w:type="pct"/>
            <w:hideMark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Значення на період n</w:t>
            </w:r>
          </w:p>
        </w:tc>
      </w:tr>
      <w:tr w:rsidR="00D36636" w:rsidRPr="009E400B" w:rsidTr="00DA69C7">
        <w:tc>
          <w:tcPr>
            <w:tcW w:w="796" w:type="pct"/>
            <w:vMerge w:val="restart"/>
            <w:hideMark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46" w:type="pct"/>
            <w:vMerge w:val="restar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13" w:type="pct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Планове значення</w:t>
            </w:r>
          </w:p>
        </w:tc>
        <w:tc>
          <w:tcPr>
            <w:tcW w:w="773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68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635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569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</w:tr>
      <w:tr w:rsidR="00D36636" w:rsidRPr="009E400B" w:rsidTr="00DA69C7">
        <w:tc>
          <w:tcPr>
            <w:tcW w:w="796" w:type="pct"/>
            <w:vMerge/>
            <w:hideMark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13" w:type="pct"/>
          </w:tcPr>
          <w:p w:rsidR="00D36636" w:rsidRPr="009E400B" w:rsidRDefault="00D36636" w:rsidP="00DA69C7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Фактичне значення</w:t>
            </w:r>
          </w:p>
        </w:tc>
        <w:tc>
          <w:tcPr>
            <w:tcW w:w="773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768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635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  <w:tc>
          <w:tcPr>
            <w:tcW w:w="569" w:type="pct"/>
          </w:tcPr>
          <w:p w:rsidR="00D36636" w:rsidRPr="009E400B" w:rsidRDefault="00D36636" w:rsidP="00DA69C7">
            <w:pPr>
              <w:spacing w:before="120"/>
              <w:rPr>
                <w:noProof/>
                <w:sz w:val="24"/>
                <w:szCs w:val="24"/>
              </w:rPr>
            </w:pPr>
          </w:p>
        </w:tc>
      </w:tr>
    </w:tbl>
    <w:p w:rsidR="00D36636" w:rsidRDefault="00D36636" w:rsidP="00D36636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ja-JP"/>
        </w:rPr>
      </w:pPr>
    </w:p>
    <w:p w:rsidR="00D36636" w:rsidRDefault="00D36636" w:rsidP="00D36636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ja-JP"/>
        </w:rPr>
      </w:pPr>
    </w:p>
    <w:p w:rsidR="00D36636" w:rsidRPr="00E05524" w:rsidRDefault="00D36636" w:rsidP="00D36636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ja-JP"/>
        </w:rPr>
      </w:pPr>
    </w:p>
    <w:p w:rsidR="00D36636" w:rsidRPr="00E05524" w:rsidRDefault="00D36636" w:rsidP="00D36636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ja-JP"/>
        </w:rPr>
      </w:pPr>
    </w:p>
    <w:tbl>
      <w:tblPr>
        <w:tblStyle w:val="21"/>
        <w:tblW w:w="5000" w:type="pct"/>
        <w:tblLook w:val="0600" w:firstRow="0" w:lastRow="0" w:firstColumn="0" w:lastColumn="0" w:noHBand="1" w:noVBand="1"/>
      </w:tblPr>
      <w:tblGrid>
        <w:gridCol w:w="5834"/>
        <w:gridCol w:w="8011"/>
      </w:tblGrid>
      <w:tr w:rsidR="00D36636" w:rsidRPr="00160971" w:rsidTr="00DA69C7">
        <w:tc>
          <w:tcPr>
            <w:tcW w:w="2107" w:type="pct"/>
            <w:hideMark/>
          </w:tcPr>
          <w:p w:rsidR="00D36636" w:rsidRPr="009E400B" w:rsidRDefault="00D36636" w:rsidP="00DA69C7">
            <w:pPr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Виявлені проблеми та риз</w:t>
            </w:r>
            <w:r>
              <w:rPr>
                <w:noProof/>
                <w:sz w:val="24"/>
                <w:szCs w:val="24"/>
              </w:rPr>
              <w:t>ики, що впливають на виконання С</w:t>
            </w:r>
            <w:r w:rsidRPr="009E400B">
              <w:rPr>
                <w:noProof/>
                <w:sz w:val="24"/>
                <w:szCs w:val="24"/>
              </w:rPr>
              <w:t>ередньострокового плану пріоритетних публічних інвестицій громади (у розрізі напряму)</w:t>
            </w:r>
          </w:p>
        </w:tc>
        <w:tc>
          <w:tcPr>
            <w:tcW w:w="2893" w:type="pct"/>
          </w:tcPr>
          <w:p w:rsidR="00D36636" w:rsidRPr="009E400B" w:rsidRDefault="00D36636" w:rsidP="00DA69C7">
            <w:pPr>
              <w:rPr>
                <w:noProof/>
                <w:sz w:val="24"/>
                <w:szCs w:val="24"/>
              </w:rPr>
            </w:pPr>
          </w:p>
        </w:tc>
      </w:tr>
      <w:tr w:rsidR="00D36636" w:rsidRPr="00160971" w:rsidTr="00DA69C7">
        <w:trPr>
          <w:trHeight w:val="713"/>
        </w:trPr>
        <w:tc>
          <w:tcPr>
            <w:tcW w:w="2107" w:type="pct"/>
            <w:hideMark/>
          </w:tcPr>
          <w:p w:rsidR="00D36636" w:rsidRPr="009E400B" w:rsidRDefault="00D36636" w:rsidP="00DA69C7">
            <w:pPr>
              <w:rPr>
                <w:noProof/>
                <w:sz w:val="24"/>
                <w:szCs w:val="24"/>
              </w:rPr>
            </w:pPr>
            <w:r w:rsidRPr="009E400B">
              <w:rPr>
                <w:noProof/>
                <w:sz w:val="24"/>
                <w:szCs w:val="24"/>
              </w:rPr>
              <w:t>Рекоменд</w:t>
            </w:r>
            <w:r>
              <w:rPr>
                <w:noProof/>
                <w:sz w:val="24"/>
                <w:szCs w:val="24"/>
              </w:rPr>
              <w:t>ації щодо покращення виконання С</w:t>
            </w:r>
            <w:r w:rsidRPr="009E400B">
              <w:rPr>
                <w:noProof/>
                <w:sz w:val="24"/>
                <w:szCs w:val="24"/>
              </w:rPr>
              <w:t>ередньострокового плану пріоритетних публічних інвестицій громади (у розрізі напряму)</w:t>
            </w:r>
          </w:p>
        </w:tc>
        <w:tc>
          <w:tcPr>
            <w:tcW w:w="2893" w:type="pct"/>
          </w:tcPr>
          <w:p w:rsidR="00D36636" w:rsidRPr="009E400B" w:rsidRDefault="00D36636" w:rsidP="00DA69C7">
            <w:pPr>
              <w:rPr>
                <w:noProof/>
                <w:sz w:val="24"/>
                <w:szCs w:val="24"/>
              </w:rPr>
            </w:pPr>
          </w:p>
        </w:tc>
      </w:tr>
    </w:tbl>
    <w:p w:rsidR="00D36636" w:rsidRPr="00E05524" w:rsidRDefault="00D36636" w:rsidP="00D3663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D36636" w:rsidRPr="00E05524" w:rsidRDefault="00D36636" w:rsidP="00D3663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bookmarkStart w:id="27" w:name="_GoBack"/>
      <w:bookmarkEnd w:id="27"/>
      <w:r w:rsidRPr="00E05524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lastRenderedPageBreak/>
        <w:t>Висновки</w:t>
      </w:r>
    </w:p>
    <w:p w:rsidR="00D36636" w:rsidRPr="00E05524" w:rsidRDefault="00D36636" w:rsidP="00D36636">
      <w:pPr>
        <w:spacing w:before="120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E05524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1. Оцінка прогресу виконання напряму публічного інвестування ___________________________________________</w:t>
      </w:r>
    </w:p>
    <w:p w:rsidR="00D36636" w:rsidRPr="00E05524" w:rsidRDefault="00D36636" w:rsidP="00D36636">
      <w:pPr>
        <w:spacing w:before="120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E05524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2. Оцінка ефективності використання публічних інвестицій _______________________________________________</w:t>
      </w:r>
    </w:p>
    <w:p w:rsidR="00D36636" w:rsidRPr="00E05524" w:rsidRDefault="00D36636" w:rsidP="00D3663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D36636" w:rsidRPr="00E05524" w:rsidRDefault="00D36636" w:rsidP="00D366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 xml:space="preserve"> ______________________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_____</w:t>
      </w: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_______</w:t>
      </w: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 xml:space="preserve">      </w:t>
      </w: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 xml:space="preserve">___________________ </w:t>
      </w: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 xml:space="preserve">    </w:t>
      </w:r>
      <w:r w:rsidRPr="00E0552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____________________________________</w:t>
      </w:r>
    </w:p>
    <w:p w:rsidR="00D36636" w:rsidRDefault="00D36636" w:rsidP="00D36636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</w:pP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 xml:space="preserve">       (найменування посади керівника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 xml:space="preserve">       </w:t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 xml:space="preserve">            (підпис) </w:t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 xml:space="preserve">     </w:t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 xml:space="preserve">                         (власне ім’я, прізвище)</w:t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br/>
        <w:t xml:space="preserve">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>виконавчого органу міської ради</w:t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 xml:space="preserve">) </w:t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  <w:r w:rsidRPr="00E05524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tab/>
      </w:r>
    </w:p>
    <w:p w:rsidR="00D36636" w:rsidRPr="00C41888" w:rsidRDefault="00D36636" w:rsidP="00D3663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D36636" w:rsidRPr="00C41888" w:rsidRDefault="00D36636" w:rsidP="00D3663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D36636" w:rsidRPr="00C41888" w:rsidRDefault="00D36636" w:rsidP="00D3663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D36636" w:rsidRDefault="00D36636" w:rsidP="00D3663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3"/>
        <w:gridCol w:w="8562"/>
      </w:tblGrid>
      <w:tr w:rsidR="00D36636" w:rsidTr="00DA69C7">
        <w:tc>
          <w:tcPr>
            <w:tcW w:w="5529" w:type="dxa"/>
            <w:hideMark/>
          </w:tcPr>
          <w:p w:rsidR="00D36636" w:rsidRDefault="00D36636" w:rsidP="00DA69C7">
            <w:pPr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Начальник управління інвестицій, міжнародної співпраці, охорони довкілля, енергоефективності та кліматичної політики Сумської міської ради</w:t>
            </w:r>
          </w:p>
        </w:tc>
        <w:tc>
          <w:tcPr>
            <w:tcW w:w="9213" w:type="dxa"/>
          </w:tcPr>
          <w:p w:rsidR="00D36636" w:rsidRDefault="00D36636" w:rsidP="00DA69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36636" w:rsidRDefault="00D36636" w:rsidP="00DA69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36636" w:rsidRDefault="00D36636" w:rsidP="00DA69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36636" w:rsidRDefault="00D36636" w:rsidP="00DA69C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Анастасія ТКАЧОВА</w:t>
            </w:r>
          </w:p>
        </w:tc>
      </w:tr>
    </w:tbl>
    <w:p w:rsidR="00D36636" w:rsidRPr="00C41888" w:rsidRDefault="00D36636" w:rsidP="00D3663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D36636" w:rsidRPr="00165241" w:rsidRDefault="00D36636" w:rsidP="00D3663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6636" w:rsidRPr="00165241" w:rsidRDefault="00D366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D36636" w:rsidRPr="00165241" w:rsidSect="00D36636">
      <w:headerReference w:type="first" r:id="rId9"/>
      <w:pgSz w:w="15840" w:h="12240" w:orient="landscape"/>
      <w:pgMar w:top="170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3A" w:rsidRDefault="00FF663A" w:rsidP="0070701B">
      <w:pPr>
        <w:spacing w:after="0" w:line="240" w:lineRule="auto"/>
      </w:pPr>
      <w:r>
        <w:separator/>
      </w:r>
    </w:p>
  </w:endnote>
  <w:endnote w:type="continuationSeparator" w:id="0">
    <w:p w:rsidR="00FF663A" w:rsidRDefault="00FF663A" w:rsidP="0070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3A" w:rsidRDefault="00FF663A" w:rsidP="0070701B">
      <w:pPr>
        <w:spacing w:after="0" w:line="240" w:lineRule="auto"/>
      </w:pPr>
      <w:r>
        <w:separator/>
      </w:r>
    </w:p>
  </w:footnote>
  <w:footnote w:type="continuationSeparator" w:id="0">
    <w:p w:rsidR="00FF663A" w:rsidRDefault="00FF663A" w:rsidP="0070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587898"/>
      <w:docPartObj>
        <w:docPartGallery w:val="Page Numbers (Top of Page)"/>
        <w:docPartUnique/>
      </w:docPartObj>
    </w:sdtPr>
    <w:sdtContent>
      <w:p w:rsidR="00D36636" w:rsidRDefault="00D366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E78">
          <w:rPr>
            <w:noProof/>
            <w:lang w:val="ru-RU"/>
          </w:rPr>
          <w:t>1</w:t>
        </w:r>
        <w:r>
          <w:fldChar w:fldCharType="end"/>
        </w:r>
      </w:p>
    </w:sdtContent>
  </w:sdt>
  <w:p w:rsidR="00D36636" w:rsidRPr="00E36E78" w:rsidRDefault="00D36636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E78" w:rsidRDefault="00E36E7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4466B"/>
    <w:multiLevelType w:val="hybridMultilevel"/>
    <w:tmpl w:val="73644CFC"/>
    <w:lvl w:ilvl="0" w:tplc="0816AD6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D694B"/>
    <w:multiLevelType w:val="hybridMultilevel"/>
    <w:tmpl w:val="424CAD46"/>
    <w:lvl w:ilvl="0" w:tplc="0816AD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5296C9F"/>
    <w:multiLevelType w:val="multilevel"/>
    <w:tmpl w:val="BBD2DAAA"/>
    <w:lvl w:ilvl="0">
      <w:start w:val="1"/>
      <w:numFmt w:val="decimal"/>
      <w:lvlText w:val="%1."/>
      <w:lvlJc w:val="left"/>
      <w:pPr>
        <w:ind w:left="135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0A"/>
    <w:rsid w:val="00012E05"/>
    <w:rsid w:val="0005238F"/>
    <w:rsid w:val="00067A8A"/>
    <w:rsid w:val="00071001"/>
    <w:rsid w:val="00080723"/>
    <w:rsid w:val="000858C8"/>
    <w:rsid w:val="00087DA4"/>
    <w:rsid w:val="00087F2B"/>
    <w:rsid w:val="00092BD8"/>
    <w:rsid w:val="00095848"/>
    <w:rsid w:val="0009787F"/>
    <w:rsid w:val="000A0B01"/>
    <w:rsid w:val="000A7140"/>
    <w:rsid w:val="000B69EA"/>
    <w:rsid w:val="000D1E65"/>
    <w:rsid w:val="000F1E22"/>
    <w:rsid w:val="00147A58"/>
    <w:rsid w:val="00156701"/>
    <w:rsid w:val="00165241"/>
    <w:rsid w:val="001813EB"/>
    <w:rsid w:val="001947E4"/>
    <w:rsid w:val="001B7033"/>
    <w:rsid w:val="001C37E2"/>
    <w:rsid w:val="001E07EA"/>
    <w:rsid w:val="0029027A"/>
    <w:rsid w:val="0029709F"/>
    <w:rsid w:val="002D7D38"/>
    <w:rsid w:val="002E030D"/>
    <w:rsid w:val="002E25B0"/>
    <w:rsid w:val="002E2808"/>
    <w:rsid w:val="002E7C04"/>
    <w:rsid w:val="002F5BFD"/>
    <w:rsid w:val="00312558"/>
    <w:rsid w:val="00312891"/>
    <w:rsid w:val="00330F7B"/>
    <w:rsid w:val="00360348"/>
    <w:rsid w:val="00385DFE"/>
    <w:rsid w:val="00392483"/>
    <w:rsid w:val="003B6868"/>
    <w:rsid w:val="003C3F2B"/>
    <w:rsid w:val="003D7EE4"/>
    <w:rsid w:val="003E45AE"/>
    <w:rsid w:val="004031A7"/>
    <w:rsid w:val="0043039B"/>
    <w:rsid w:val="00444375"/>
    <w:rsid w:val="00447645"/>
    <w:rsid w:val="0045277E"/>
    <w:rsid w:val="004568B8"/>
    <w:rsid w:val="004704B1"/>
    <w:rsid w:val="004807B6"/>
    <w:rsid w:val="004935F9"/>
    <w:rsid w:val="004A0FCE"/>
    <w:rsid w:val="004C05B2"/>
    <w:rsid w:val="004E01AF"/>
    <w:rsid w:val="004E10E3"/>
    <w:rsid w:val="004E5996"/>
    <w:rsid w:val="004F184E"/>
    <w:rsid w:val="005231E6"/>
    <w:rsid w:val="005271A2"/>
    <w:rsid w:val="00582FE5"/>
    <w:rsid w:val="00584479"/>
    <w:rsid w:val="005942B9"/>
    <w:rsid w:val="005B6C71"/>
    <w:rsid w:val="005D0FDF"/>
    <w:rsid w:val="005F7549"/>
    <w:rsid w:val="00616C01"/>
    <w:rsid w:val="006422EF"/>
    <w:rsid w:val="00642703"/>
    <w:rsid w:val="00651267"/>
    <w:rsid w:val="00663E32"/>
    <w:rsid w:val="00667612"/>
    <w:rsid w:val="006723E4"/>
    <w:rsid w:val="006E2984"/>
    <w:rsid w:val="006E664F"/>
    <w:rsid w:val="006F3B0D"/>
    <w:rsid w:val="006F5E01"/>
    <w:rsid w:val="0070701B"/>
    <w:rsid w:val="00707C95"/>
    <w:rsid w:val="00716960"/>
    <w:rsid w:val="00726E9A"/>
    <w:rsid w:val="00752FA9"/>
    <w:rsid w:val="007538EB"/>
    <w:rsid w:val="00756A18"/>
    <w:rsid w:val="0076135E"/>
    <w:rsid w:val="00762E25"/>
    <w:rsid w:val="0078630A"/>
    <w:rsid w:val="00796B93"/>
    <w:rsid w:val="007A0FA8"/>
    <w:rsid w:val="007C2059"/>
    <w:rsid w:val="007E65C9"/>
    <w:rsid w:val="00812086"/>
    <w:rsid w:val="00835A26"/>
    <w:rsid w:val="00853160"/>
    <w:rsid w:val="00882B2A"/>
    <w:rsid w:val="00890DFC"/>
    <w:rsid w:val="00890F7A"/>
    <w:rsid w:val="00895A3C"/>
    <w:rsid w:val="008A57EC"/>
    <w:rsid w:val="008C058C"/>
    <w:rsid w:val="008C28C9"/>
    <w:rsid w:val="008E5AE0"/>
    <w:rsid w:val="008E6B64"/>
    <w:rsid w:val="008F5DF1"/>
    <w:rsid w:val="00906ED8"/>
    <w:rsid w:val="009351CB"/>
    <w:rsid w:val="00936A6B"/>
    <w:rsid w:val="00940B2D"/>
    <w:rsid w:val="009619C9"/>
    <w:rsid w:val="00965491"/>
    <w:rsid w:val="00977923"/>
    <w:rsid w:val="009815C3"/>
    <w:rsid w:val="009A64A2"/>
    <w:rsid w:val="009B4ED2"/>
    <w:rsid w:val="009C5780"/>
    <w:rsid w:val="009E7643"/>
    <w:rsid w:val="009F21A4"/>
    <w:rsid w:val="009F602F"/>
    <w:rsid w:val="00A019E4"/>
    <w:rsid w:val="00A07576"/>
    <w:rsid w:val="00A23B99"/>
    <w:rsid w:val="00A25472"/>
    <w:rsid w:val="00A377A5"/>
    <w:rsid w:val="00A86443"/>
    <w:rsid w:val="00AB10E0"/>
    <w:rsid w:val="00AD2769"/>
    <w:rsid w:val="00AD5FE5"/>
    <w:rsid w:val="00AF25E4"/>
    <w:rsid w:val="00B12879"/>
    <w:rsid w:val="00B35C65"/>
    <w:rsid w:val="00B434B4"/>
    <w:rsid w:val="00B5629A"/>
    <w:rsid w:val="00B93D13"/>
    <w:rsid w:val="00BB652E"/>
    <w:rsid w:val="00BC4A0A"/>
    <w:rsid w:val="00BD63F2"/>
    <w:rsid w:val="00BD7C14"/>
    <w:rsid w:val="00C35A6A"/>
    <w:rsid w:val="00C67176"/>
    <w:rsid w:val="00C91EB2"/>
    <w:rsid w:val="00CA58EB"/>
    <w:rsid w:val="00CA6083"/>
    <w:rsid w:val="00CB273F"/>
    <w:rsid w:val="00CC626D"/>
    <w:rsid w:val="00CC6AC4"/>
    <w:rsid w:val="00CD1DA9"/>
    <w:rsid w:val="00CF26A4"/>
    <w:rsid w:val="00D10DC9"/>
    <w:rsid w:val="00D25ECF"/>
    <w:rsid w:val="00D36636"/>
    <w:rsid w:val="00D712F1"/>
    <w:rsid w:val="00D94622"/>
    <w:rsid w:val="00D97B58"/>
    <w:rsid w:val="00DA1C9F"/>
    <w:rsid w:val="00DC6591"/>
    <w:rsid w:val="00E03997"/>
    <w:rsid w:val="00E12855"/>
    <w:rsid w:val="00E15132"/>
    <w:rsid w:val="00E36E78"/>
    <w:rsid w:val="00E42A06"/>
    <w:rsid w:val="00E55CD9"/>
    <w:rsid w:val="00E62AE4"/>
    <w:rsid w:val="00E85FDA"/>
    <w:rsid w:val="00E92DA4"/>
    <w:rsid w:val="00EA1120"/>
    <w:rsid w:val="00EB462F"/>
    <w:rsid w:val="00EC7172"/>
    <w:rsid w:val="00ED7133"/>
    <w:rsid w:val="00EE319C"/>
    <w:rsid w:val="00EF2AA4"/>
    <w:rsid w:val="00F3797D"/>
    <w:rsid w:val="00F517E6"/>
    <w:rsid w:val="00F642F6"/>
    <w:rsid w:val="00F7749F"/>
    <w:rsid w:val="00F77623"/>
    <w:rsid w:val="00FA029A"/>
    <w:rsid w:val="00FB13CB"/>
    <w:rsid w:val="00FC3285"/>
    <w:rsid w:val="00FC5B37"/>
    <w:rsid w:val="00FD0ADE"/>
    <w:rsid w:val="00FD66B4"/>
    <w:rsid w:val="00FE7406"/>
    <w:rsid w:val="00FE7FB3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4F0D0"/>
  <w15:chartTrackingRefBased/>
  <w15:docId w15:val="{A7861829-7ED4-453A-8C38-4261233E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5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568B8"/>
  </w:style>
  <w:style w:type="paragraph" w:customStyle="1" w:styleId="rvps2">
    <w:name w:val="rvps2"/>
    <w:basedOn w:val="a"/>
    <w:rsid w:val="0045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568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027A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070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701B"/>
  </w:style>
  <w:style w:type="paragraph" w:styleId="a7">
    <w:name w:val="footer"/>
    <w:basedOn w:val="a"/>
    <w:link w:val="a8"/>
    <w:uiPriority w:val="99"/>
    <w:unhideWhenUsed/>
    <w:rsid w:val="007070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701B"/>
  </w:style>
  <w:style w:type="paragraph" w:styleId="a9">
    <w:name w:val="List Paragraph"/>
    <w:basedOn w:val="a"/>
    <w:uiPriority w:val="34"/>
    <w:qFormat/>
    <w:rsid w:val="004C05B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23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3B9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012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unhideWhenUsed/>
    <w:rsid w:val="00087F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087F2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21">
    <w:name w:val="Сетка таблицы2"/>
    <w:basedOn w:val="a1"/>
    <w:next w:val="ac"/>
    <w:rsid w:val="00D366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8919-8CBF-43CB-A0FB-E0E2BB31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3253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Левицька Аліна Сергіївна</dc:creator>
  <cp:keywords/>
  <dc:description/>
  <cp:lastModifiedBy>Левицька Аліна Сергіївна</cp:lastModifiedBy>
  <cp:revision>34</cp:revision>
  <cp:lastPrinted>2026-04-10T06:21:00Z</cp:lastPrinted>
  <dcterms:created xsi:type="dcterms:W3CDTF">2026-03-05T15:28:00Z</dcterms:created>
  <dcterms:modified xsi:type="dcterms:W3CDTF">2026-05-13T12:57:00Z</dcterms:modified>
</cp:coreProperties>
</file>