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1" w:type="dxa"/>
        <w:jc w:val="center"/>
        <w:tblLayout w:type="fixed"/>
        <w:tblLook w:val="01E0" w:firstRow="1" w:lastRow="1" w:firstColumn="1" w:lastColumn="1" w:noHBand="0" w:noVBand="0"/>
      </w:tblPr>
      <w:tblGrid>
        <w:gridCol w:w="4175"/>
        <w:gridCol w:w="222"/>
        <w:gridCol w:w="990"/>
        <w:gridCol w:w="4374"/>
      </w:tblGrid>
      <w:tr w:rsidR="00016A2F" w:rsidRPr="004E5996" w:rsidTr="005F0E01">
        <w:trPr>
          <w:cantSplit/>
          <w:trHeight w:val="20"/>
          <w:jc w:val="center"/>
        </w:trPr>
        <w:tc>
          <w:tcPr>
            <w:tcW w:w="4175" w:type="dxa"/>
            <w:shd w:val="clear" w:color="auto" w:fill="auto"/>
          </w:tcPr>
          <w:p w:rsidR="00016A2F" w:rsidRPr="004E5996" w:rsidRDefault="00016A2F" w:rsidP="005F0E0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12" w:type="dxa"/>
            <w:gridSpan w:val="2"/>
            <w:shd w:val="clear" w:color="auto" w:fill="auto"/>
          </w:tcPr>
          <w:p w:rsidR="00016A2F" w:rsidRPr="004E5996" w:rsidRDefault="00016A2F" w:rsidP="005F0E0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4F5EAA" wp14:editId="54EF9744">
                  <wp:extent cx="431800" cy="59245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shd w:val="clear" w:color="auto" w:fill="auto"/>
          </w:tcPr>
          <w:p w:rsidR="00CB3009" w:rsidRPr="004E5996" w:rsidRDefault="00CB3009" w:rsidP="00E72B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6A2F" w:rsidRPr="00FE0060" w:rsidTr="005F0E01">
        <w:trPr>
          <w:jc w:val="center"/>
        </w:trPr>
        <w:tc>
          <w:tcPr>
            <w:tcW w:w="9761" w:type="dxa"/>
            <w:gridSpan w:val="4"/>
            <w:shd w:val="clear" w:color="auto" w:fill="auto"/>
          </w:tcPr>
          <w:p w:rsidR="00016A2F" w:rsidRPr="004E5996" w:rsidRDefault="00016A2F" w:rsidP="005F0E0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sz w:val="36"/>
                <w:szCs w:val="28"/>
                <w:lang w:val="uk-UA" w:eastAsia="ru-RU"/>
              </w:rPr>
              <w:t>Сумська міська рада</w:t>
            </w:r>
          </w:p>
          <w:p w:rsidR="00016A2F" w:rsidRPr="004E5996" w:rsidRDefault="00016A2F" w:rsidP="005F0E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Виконавчий комітет</w:t>
            </w:r>
          </w:p>
          <w:p w:rsidR="00016A2F" w:rsidRPr="004E5996" w:rsidRDefault="00016A2F" w:rsidP="005F0E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РІШЕННЯ</w:t>
            </w:r>
          </w:p>
        </w:tc>
      </w:tr>
      <w:tr w:rsidR="00016A2F" w:rsidRPr="00FE0060" w:rsidTr="005F0E01">
        <w:tblPrEx>
          <w:jc w:val="left"/>
        </w:tblPrEx>
        <w:trPr>
          <w:gridAfter w:val="2"/>
          <w:wAfter w:w="5364" w:type="dxa"/>
          <w:trHeight w:val="1352"/>
        </w:trPr>
        <w:tc>
          <w:tcPr>
            <w:tcW w:w="4397" w:type="dxa"/>
            <w:gridSpan w:val="2"/>
          </w:tcPr>
          <w:p w:rsidR="00016A2F" w:rsidRPr="00C91EB2" w:rsidRDefault="00016A2F" w:rsidP="005F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016A2F" w:rsidRPr="00C91EB2" w:rsidRDefault="00016A2F" w:rsidP="005F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C91EB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від </w:t>
            </w:r>
            <w:r w:rsidR="007417F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30.04.2026 </w:t>
            </w:r>
            <w:r w:rsidRPr="00F7553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>№</w:t>
            </w:r>
            <w:r w:rsidR="007417F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1147</w:t>
            </w:r>
            <w:r w:rsidRPr="00C91EB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        </w:t>
            </w:r>
          </w:p>
          <w:p w:rsidR="00016A2F" w:rsidRPr="00C91EB2" w:rsidRDefault="00016A2F" w:rsidP="005F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</w:p>
          <w:p w:rsidR="00016A2F" w:rsidRPr="00C91EB2" w:rsidRDefault="00016A2F" w:rsidP="005F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C91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затвердження </w:t>
            </w:r>
            <w:bookmarkStart w:id="0" w:name="_Hlk21213862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Порядку </w:t>
            </w:r>
            <w:bookmarkEnd w:id="0"/>
            <w:r w:rsidR="009D7883" w:rsidRPr="009D7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розробл</w:t>
            </w:r>
            <w:r w:rsidR="001D5E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ення та моніторингу реалізації С</w:t>
            </w:r>
            <w:r w:rsidR="009D7883" w:rsidRPr="009D7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ередньострокового плану пріоритетних публічних інвестицій Сумської міської територіальної громади</w:t>
            </w:r>
          </w:p>
        </w:tc>
      </w:tr>
    </w:tbl>
    <w:p w:rsidR="00016A2F" w:rsidRPr="00C91EB2" w:rsidRDefault="00016A2F" w:rsidP="00016A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7883" w:rsidRDefault="009D7883" w:rsidP="00173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метою впровадження ефективного механізму планування та реалізації пріоритетних публічних інвестицій, забезпечення відкритості та прозорості в управлінні бюджетними ресурсами,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</w:t>
      </w:r>
      <w:r w:rsidR="00F923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атті</w:t>
      </w:r>
      <w:r w:rsidR="00EB1A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75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Бюджетного кодексу України,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враховуючи </w:t>
      </w:r>
      <w:r w:rsidRPr="00663E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663E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Кабінету Міністрів України</w:t>
      </w:r>
      <w:r w:rsidR="00E418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28 лютого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2025 №</w:t>
      </w:r>
      <w:r w:rsidR="005F1167" w:rsidRPr="005F1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294 «Про затвердження Порядку розроблення та моніторингу реалізації середньострокового плану пріоритетних публічних інвестицій держави»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Методичні рекомендації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порядку розроблення та моніторингу реалізації середньострокового плану пріоритетних публічних інвестицій регіону (територіальної громади)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затверджені наказом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Міністерства економіки, довкілля та сільського господарства України 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28</w:t>
      </w:r>
      <w:r w:rsidR="00E418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серпня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2025 №</w:t>
      </w:r>
      <w:r w:rsidR="005F1167" w:rsidRPr="005F11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352</w:t>
      </w:r>
      <w:r w:rsidR="00F263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керуючись</w:t>
      </w:r>
      <w:r w:rsidRP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A55D6" w:rsidRP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ідпунктом </w:t>
      </w:r>
      <w:r w:rsidR="00FA55D6" w:rsidRP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 п</w:t>
      </w:r>
      <w:r w:rsid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ункту «б» статті </w:t>
      </w:r>
      <w:r w:rsidR="00FA55D6" w:rsidRP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28</w:t>
      </w:r>
      <w:r w:rsid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статтями </w:t>
      </w:r>
      <w:r w:rsidRPr="00FA5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40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3120EB" w:rsidRPr="00663E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52, частиною шостою статті 59 </w:t>
      </w:r>
      <w:r w:rsidRPr="009D78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="003120EB" w:rsidRPr="004E59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Сумської міської ради</w:t>
      </w:r>
      <w:r w:rsidR="003120EB" w:rsidRPr="004E5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9D7883" w:rsidRDefault="009D7883" w:rsidP="00173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16A2F" w:rsidRPr="004E5996" w:rsidRDefault="00016A2F" w:rsidP="001736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59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:rsidR="00016A2F" w:rsidRPr="00C91EB2" w:rsidRDefault="00016A2F" w:rsidP="00173668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:rsidR="00016A2F" w:rsidRPr="00B24D98" w:rsidRDefault="00FA55D6" w:rsidP="0017366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55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Порядок розроблення та моніторингу реалізації  Середньострокового плану пріоритетних публічних інвестицій </w:t>
      </w:r>
      <w:r w:rsidRPr="00663E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Сумської міської </w:t>
      </w:r>
      <w:r w:rsidRPr="00B24D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територіальної громади</w:t>
      </w:r>
      <w:r w:rsidRPr="00B24D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E6B" w:rsidRPr="00B24D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Порядок) </w:t>
      </w:r>
      <w:r w:rsidR="00016A2F" w:rsidRPr="00B24D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додатком до цього рішення.</w:t>
      </w:r>
    </w:p>
    <w:p w:rsidR="00447D27" w:rsidRPr="00B24D98" w:rsidRDefault="00447D27" w:rsidP="009F6F6B">
      <w:pPr>
        <w:numPr>
          <w:ilvl w:val="0"/>
          <w:numId w:val="1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4D98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інвестицій, міжнародної співпраці, охорони довкілля, енергоефективності та кліматичної політики Сумської міської ради (Анастасія ТКАЧОВА), </w:t>
      </w:r>
      <w:r w:rsidR="005F1167" w:rsidRPr="00B24D98">
        <w:rPr>
          <w:rFonts w:ascii="Times New Roman" w:hAnsi="Times New Roman" w:cs="Times New Roman"/>
          <w:sz w:val="28"/>
          <w:szCs w:val="28"/>
          <w:lang w:val="uk-UA"/>
        </w:rPr>
        <w:t xml:space="preserve">щороку під час складання прогнозу бюджету Сумської міської територіальної громади </w:t>
      </w:r>
      <w:r w:rsidR="001D5E08" w:rsidRPr="00B24D98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розроблення </w:t>
      </w:r>
      <w:r w:rsidR="005F1167" w:rsidRPr="00B24D98">
        <w:rPr>
          <w:rFonts w:ascii="Times New Roman" w:hAnsi="Times New Roman" w:cs="Times New Roman"/>
          <w:sz w:val="28"/>
          <w:szCs w:val="28"/>
          <w:lang w:val="uk-UA"/>
        </w:rPr>
        <w:t>Середньострокового плану пріоритетних публічних інвестицій Сумської міської територіальної громади</w:t>
      </w:r>
      <w:r w:rsidR="009F6F6B" w:rsidRPr="00B24D98">
        <w:rPr>
          <w:rFonts w:ascii="Times New Roman" w:hAnsi="Times New Roman" w:cs="Times New Roman"/>
          <w:sz w:val="28"/>
          <w:szCs w:val="28"/>
          <w:lang w:val="uk-UA"/>
        </w:rPr>
        <w:t xml:space="preserve"> на плановий та два наступні бюджетні періоди</w:t>
      </w:r>
      <w:r w:rsidR="00173668" w:rsidRPr="00B24D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6A2F" w:rsidRPr="00173668" w:rsidRDefault="00447D27" w:rsidP="00173668">
      <w:pPr>
        <w:numPr>
          <w:ilvl w:val="0"/>
          <w:numId w:val="1"/>
        </w:numPr>
        <w:shd w:val="clear" w:color="auto" w:fill="FFFFFF"/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3668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Департаменту фінансів Сумської міської ради (Лариса СКИРТАЧ)</w:t>
      </w:r>
      <w:r w:rsidR="001736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366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виконавчим органам Сумської міської ради</w:t>
      </w:r>
      <w:r w:rsidR="001736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відповідальним за галузі (сектори) для здійснення публічного інвестування Сумської міської територіальної громади</w:t>
      </w:r>
      <w:r w:rsidR="00843E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визначених </w:t>
      </w:r>
      <w:r w:rsidR="00B75A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відповідним </w:t>
      </w:r>
      <w:r w:rsidR="002543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в</w:t>
      </w:r>
      <w:r w:rsidR="00843E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иконавчого комітету Сумської міської ради </w:t>
      </w:r>
      <w:r w:rsidR="00173668" w:rsidRPr="00173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реалізацію положень Порядку</w:t>
      </w:r>
      <w:r w:rsidR="00016A2F" w:rsidRPr="00173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47D27" w:rsidRDefault="00447D27" w:rsidP="00173668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16A2F" w:rsidRPr="002C68D0" w:rsidRDefault="00777332" w:rsidP="002C68D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Організацію виконання даного рішення покласти на управління </w:t>
      </w:r>
      <w:r w:rsidRPr="00777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інвестицій, міжнародної співпраці, охорони довкілля, енергоефективності та кліматичної політики Сумської міської ради (Анастасія ТКАЧОВА)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, к</w:t>
      </w:r>
      <w:r w:rsidR="002C68D0" w:rsidRPr="002C6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-</w:t>
      </w:r>
      <w:r w:rsidR="00173668" w:rsidRPr="002C6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016A2F" w:rsidRPr="002C6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залишаю за собою.</w:t>
      </w:r>
    </w:p>
    <w:p w:rsidR="00016A2F" w:rsidRDefault="00016A2F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68D0" w:rsidRDefault="002C68D0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3668" w:rsidRDefault="00173668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A2F" w:rsidRDefault="00016A2F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A2F" w:rsidRPr="004E5996" w:rsidRDefault="00016A2F" w:rsidP="00016A2F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А</w:t>
      </w:r>
      <w:r w:rsidR="009F6F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ртем</w:t>
      </w:r>
      <w:r w:rsidR="00F47F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КОБЗ</w:t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</w:t>
      </w:r>
    </w:p>
    <w:p w:rsidR="00016A2F" w:rsidRPr="004E5996" w:rsidRDefault="00016A2F" w:rsidP="00016A2F">
      <w:pPr>
        <w:keepNext/>
        <w:pBdr>
          <w:bottom w:val="single" w:sz="12" w:space="1" w:color="auto"/>
        </w:pBdr>
        <w:tabs>
          <w:tab w:val="left" w:pos="40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Ткачова А.І.</w:t>
      </w:r>
    </w:p>
    <w:p w:rsidR="009C1396" w:rsidRDefault="00016A2F" w:rsidP="00016A2F">
      <w:pPr>
        <w:rPr>
          <w:rFonts w:ascii="Times New Roman" w:eastAsia="Times New Roman" w:hAnsi="Times New Roman" w:cs="Times New Roman"/>
          <w:lang w:val="uk-UA" w:eastAsia="ru-RU"/>
        </w:rPr>
      </w:pPr>
      <w:r w:rsidRPr="004E5996">
        <w:rPr>
          <w:rFonts w:ascii="Times New Roman" w:eastAsia="Times New Roman" w:hAnsi="Times New Roman" w:cs="Times New Roman"/>
          <w:lang w:val="uk-UA" w:eastAsia="ru-RU"/>
        </w:rPr>
        <w:t>Розіслати: згідно зі списком розсилки</w:t>
      </w:r>
    </w:p>
    <w:p w:rsidR="00447D27" w:rsidRDefault="00447D27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447D27" w:rsidRDefault="00447D27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AB1D3B" w:rsidRDefault="00AB1D3B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B5EA1" w:rsidRDefault="00EB5EA1" w:rsidP="00016A2F">
      <w:pPr>
        <w:rPr>
          <w:rFonts w:ascii="Times New Roman" w:eastAsia="Times New Roman" w:hAnsi="Times New Roman" w:cs="Times New Roman"/>
          <w:lang w:val="uk-UA" w:eastAsia="ru-RU"/>
        </w:rPr>
      </w:pPr>
      <w:bookmarkStart w:id="1" w:name="_GoBack"/>
      <w:bookmarkEnd w:id="1"/>
    </w:p>
    <w:sectPr w:rsidR="00EB5EA1" w:rsidSect="00016A2F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6C9F"/>
    <w:multiLevelType w:val="multilevel"/>
    <w:tmpl w:val="BBD2DAAA"/>
    <w:lvl w:ilvl="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9" w:hanging="2160"/>
      </w:pPr>
      <w:rPr>
        <w:rFonts w:hint="default"/>
      </w:rPr>
    </w:lvl>
  </w:abstractNum>
  <w:abstractNum w:abstractNumId="1" w15:restartNumberingAfterBreak="0">
    <w:nsid w:val="6DEB29EA"/>
    <w:multiLevelType w:val="hybridMultilevel"/>
    <w:tmpl w:val="8AEC26CE"/>
    <w:lvl w:ilvl="0" w:tplc="C80ACFDE">
      <w:start w:val="1"/>
      <w:numFmt w:val="decimal"/>
      <w:lvlText w:val="%1."/>
      <w:lvlJc w:val="left"/>
      <w:pPr>
        <w:tabs>
          <w:tab w:val="num" w:pos="1187"/>
        </w:tabs>
        <w:ind w:left="1187" w:hanging="903"/>
      </w:pPr>
    </w:lvl>
    <w:lvl w:ilvl="1" w:tplc="04190019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B3"/>
    <w:rsid w:val="00016A2F"/>
    <w:rsid w:val="00097ABD"/>
    <w:rsid w:val="00173668"/>
    <w:rsid w:val="001D5E08"/>
    <w:rsid w:val="0020287A"/>
    <w:rsid w:val="0025437F"/>
    <w:rsid w:val="002A698C"/>
    <w:rsid w:val="002C68D0"/>
    <w:rsid w:val="0030615D"/>
    <w:rsid w:val="003120EB"/>
    <w:rsid w:val="003A5EB1"/>
    <w:rsid w:val="00447D27"/>
    <w:rsid w:val="00547342"/>
    <w:rsid w:val="0059093F"/>
    <w:rsid w:val="005F1167"/>
    <w:rsid w:val="00673A83"/>
    <w:rsid w:val="00693B21"/>
    <w:rsid w:val="007417F6"/>
    <w:rsid w:val="00777332"/>
    <w:rsid w:val="00802862"/>
    <w:rsid w:val="00843E6B"/>
    <w:rsid w:val="008A1DB3"/>
    <w:rsid w:val="00950890"/>
    <w:rsid w:val="00997FB8"/>
    <w:rsid w:val="009C1396"/>
    <w:rsid w:val="009D7883"/>
    <w:rsid w:val="009E3D00"/>
    <w:rsid w:val="009F6F6B"/>
    <w:rsid w:val="00AA1598"/>
    <w:rsid w:val="00AB1D3B"/>
    <w:rsid w:val="00B24D98"/>
    <w:rsid w:val="00B75AB5"/>
    <w:rsid w:val="00CB3009"/>
    <w:rsid w:val="00DD2F42"/>
    <w:rsid w:val="00E418F4"/>
    <w:rsid w:val="00E50466"/>
    <w:rsid w:val="00E72BC1"/>
    <w:rsid w:val="00EB1AED"/>
    <w:rsid w:val="00EB5EA1"/>
    <w:rsid w:val="00F26389"/>
    <w:rsid w:val="00F47F21"/>
    <w:rsid w:val="00F7553A"/>
    <w:rsid w:val="00F923E7"/>
    <w:rsid w:val="00FA55D6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4256"/>
  <w15:chartTrackingRefBased/>
  <w15:docId w15:val="{F908BCE8-5155-4DC1-A278-1160ADF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4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B1D3B"/>
    <w:rPr>
      <w:color w:val="0000FF"/>
      <w:u w:val="single"/>
    </w:rPr>
  </w:style>
  <w:style w:type="table" w:styleId="a8">
    <w:name w:val="Table Grid"/>
    <w:basedOn w:val="a1"/>
    <w:uiPriority w:val="39"/>
    <w:rsid w:val="00EB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E6C5-12F4-46F3-972F-C31ED569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Аліна Сергіївна</dc:creator>
  <cp:keywords/>
  <dc:description/>
  <cp:lastModifiedBy>Левицька Аліна Сергіївна</cp:lastModifiedBy>
  <cp:revision>38</cp:revision>
  <cp:lastPrinted>2026-04-10T06:50:00Z</cp:lastPrinted>
  <dcterms:created xsi:type="dcterms:W3CDTF">2026-02-27T11:17:00Z</dcterms:created>
  <dcterms:modified xsi:type="dcterms:W3CDTF">2026-05-13T12:35:00Z</dcterms:modified>
</cp:coreProperties>
</file>