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6732" w:tblpY="76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5"/>
      </w:tblGrid>
      <w:tr w:rsidR="004C2E1B" w:rsidRPr="004C2E1B" w14:paraId="3EF41097" w14:textId="77777777" w:rsidTr="00373B23">
        <w:trPr>
          <w:trHeight w:val="113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3B92298C" w14:textId="268DB483" w:rsidR="004C2E1B" w:rsidRPr="00F32574" w:rsidRDefault="006E5F27" w:rsidP="006E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</w:t>
            </w:r>
            <w:r w:rsidR="004C2E1B" w:rsidRPr="00F32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Додаток 1</w:t>
            </w:r>
          </w:p>
          <w:p w14:paraId="612DCC61" w14:textId="77777777" w:rsidR="001C6B5F" w:rsidRPr="00F32574" w:rsidRDefault="001C6B5F" w:rsidP="001C6B5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2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рішення виконавчого комітету  </w:t>
            </w:r>
          </w:p>
          <w:p w14:paraId="584E1105" w14:textId="77777777" w:rsidR="001C6B5F" w:rsidRPr="00F32574" w:rsidRDefault="001C6B5F" w:rsidP="001C6B5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863E11E" w14:textId="36E9E299" w:rsidR="001B17FA" w:rsidRDefault="008C4B7B" w:rsidP="001C6B5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32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від </w:t>
            </w:r>
            <w:r w:rsidR="007F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03.04.2026</w:t>
            </w:r>
            <w:r w:rsidRPr="00F325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№ </w:t>
            </w:r>
            <w:r w:rsidR="007F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884</w:t>
            </w:r>
            <w:r w:rsidR="004C2E1B" w:rsidRPr="005C6D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150AC6F" w14:textId="2552D7F0" w:rsidR="00373B23" w:rsidRPr="00373B23" w:rsidRDefault="00373B23" w:rsidP="001C6B5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185A049A" w14:textId="374A48F9" w:rsidR="004C2E1B" w:rsidRDefault="00342990" w:rsidP="00AA2E22">
      <w:pPr>
        <w:ind w:right="-607" w:firstLine="851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05" w14:textId="489D2014" w:rsidR="00C24EED" w:rsidRDefault="00342990" w:rsidP="00AA2E22">
      <w:pPr>
        <w:ind w:right="-607" w:firstLine="851"/>
      </w:pPr>
      <w:r>
        <w:tab/>
      </w:r>
    </w:p>
    <w:p w14:paraId="4EE4706A" w14:textId="2CB9617C" w:rsidR="004C2E1B" w:rsidRDefault="004C2E1B" w:rsidP="00AA2E22">
      <w:pPr>
        <w:ind w:right="-607" w:firstLine="851"/>
      </w:pPr>
    </w:p>
    <w:p w14:paraId="5EDD96C1" w14:textId="75ED599B" w:rsidR="004C2E1B" w:rsidRDefault="004C2E1B" w:rsidP="00AA2E22">
      <w:pPr>
        <w:ind w:right="-607" w:firstLine="851"/>
        <w:rPr>
          <w:lang w:val="uk-UA"/>
        </w:rPr>
      </w:pPr>
    </w:p>
    <w:p w14:paraId="10C88A07" w14:textId="77777777" w:rsidR="00373B23" w:rsidRDefault="00373B23" w:rsidP="00AA2E22">
      <w:pPr>
        <w:ind w:right="-607" w:firstLine="851"/>
        <w:rPr>
          <w:lang w:val="uk-UA"/>
        </w:rPr>
      </w:pPr>
    </w:p>
    <w:p w14:paraId="4A39AE1F" w14:textId="77777777" w:rsidR="00BA2DE7" w:rsidRPr="00373B23" w:rsidRDefault="00BA2DE7" w:rsidP="00AA2E22">
      <w:pPr>
        <w:ind w:right="-607" w:firstLine="851"/>
        <w:rPr>
          <w:lang w:val="uk-UA"/>
        </w:rPr>
      </w:pPr>
    </w:p>
    <w:p w14:paraId="00000008" w14:textId="4620EF97" w:rsidR="00C24EED" w:rsidRPr="00DC7875" w:rsidRDefault="00342990" w:rsidP="004347FC">
      <w:pPr>
        <w:spacing w:line="240" w:lineRule="auto"/>
        <w:ind w:right="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 до звіту про</w:t>
      </w:r>
      <w:r w:rsidR="009968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77A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хід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виконання програми  </w:t>
      </w:r>
      <w:r w:rsidR="00776470" w:rsidRPr="00DC7875">
        <w:rPr>
          <w:rFonts w:ascii="Times New Roman" w:hAnsi="Times New Roman" w:cs="Times New Roman"/>
          <w:b/>
          <w:color w:val="000000"/>
          <w:sz w:val="28"/>
          <w:szCs w:val="28"/>
        </w:rPr>
        <w:t>Сумської міської територіальної громади «Милосердя»</w:t>
      </w:r>
      <w:r w:rsidRPr="00DC78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7875" w:rsidRPr="00DC78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 </w:t>
      </w:r>
      <w:r w:rsidR="001C6B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</w:t>
      </w:r>
      <w:r w:rsidR="00020C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DC7875" w:rsidRPr="00DC78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</w:t>
      </w:r>
      <w:r w:rsidR="00BA2D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ік</w:t>
      </w:r>
    </w:p>
    <w:p w14:paraId="3F3ABB3B" w14:textId="77777777" w:rsidR="00776470" w:rsidRPr="00776470" w:rsidRDefault="00776470" w:rsidP="00AA2E22">
      <w:pPr>
        <w:ind w:right="-607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4DE2DC5F" w:rsidR="00C24EED" w:rsidRPr="00866645" w:rsidRDefault="00342990" w:rsidP="004347FC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right="-607"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6645">
        <w:rPr>
          <w:rFonts w:ascii="Times New Roman" w:eastAsia="Times New Roman" w:hAnsi="Times New Roman" w:cs="Times New Roman"/>
          <w:sz w:val="28"/>
          <w:szCs w:val="28"/>
        </w:rPr>
        <w:t>Основні дані.</w:t>
      </w:r>
      <w:r w:rsidRPr="008666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E268310" w14:textId="2ABBBC56" w:rsidR="00DC7875" w:rsidRPr="00C24B66" w:rsidRDefault="00E63F42" w:rsidP="004347FC">
      <w:pPr>
        <w:pStyle w:val="a5"/>
        <w:spacing w:line="240" w:lineRule="auto"/>
        <w:ind w:left="0" w:right="119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24B66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020CE1">
        <w:rPr>
          <w:rFonts w:ascii="Times New Roman" w:hAnsi="Times New Roman" w:cs="Times New Roman"/>
          <w:sz w:val="28"/>
          <w:szCs w:val="28"/>
          <w:lang w:val="uk-UA"/>
        </w:rPr>
        <w:t xml:space="preserve">2025 </w:t>
      </w:r>
      <w:r w:rsidRPr="00C24B66">
        <w:rPr>
          <w:rFonts w:ascii="Times New Roman" w:hAnsi="Times New Roman" w:cs="Times New Roman"/>
          <w:sz w:val="28"/>
          <w:szCs w:val="28"/>
        </w:rPr>
        <w:t>рок</w:t>
      </w:r>
      <w:r w:rsidR="00020CE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C6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4B66">
        <w:rPr>
          <w:rFonts w:ascii="Times New Roman" w:hAnsi="Times New Roman" w:cs="Times New Roman"/>
          <w:sz w:val="28"/>
          <w:szCs w:val="28"/>
        </w:rPr>
        <w:t xml:space="preserve">виконувалися завдання та заходи для реалізації </w:t>
      </w:r>
      <w:r w:rsidRPr="00C24B66">
        <w:rPr>
          <w:rFonts w:ascii="Times New Roman" w:hAnsi="Times New Roman" w:cs="Times New Roman"/>
          <w:sz w:val="28"/>
        </w:rPr>
        <w:t xml:space="preserve">програми </w:t>
      </w:r>
      <w:r w:rsidRPr="00C24B66">
        <w:rPr>
          <w:rFonts w:ascii="Times New Roman" w:hAnsi="Times New Roman" w:cs="Times New Roman"/>
          <w:sz w:val="28"/>
          <w:szCs w:val="28"/>
        </w:rPr>
        <w:t>Сумської міської територіальної громади</w:t>
      </w:r>
      <w:r w:rsidRPr="00C24B66">
        <w:rPr>
          <w:rFonts w:ascii="Times New Roman" w:hAnsi="Times New Roman" w:cs="Times New Roman"/>
          <w:sz w:val="28"/>
        </w:rPr>
        <w:t xml:space="preserve"> </w:t>
      </w:r>
      <w:r w:rsidRPr="00C24B66">
        <w:rPr>
          <w:rFonts w:ascii="Times New Roman" w:hAnsi="Times New Roman" w:cs="Times New Roman"/>
          <w:sz w:val="28"/>
          <w:szCs w:val="28"/>
        </w:rPr>
        <w:t>«Милосердя» на</w:t>
      </w:r>
      <w:r w:rsidR="00C24B66" w:rsidRPr="00C24B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35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C24B66">
        <w:rPr>
          <w:rFonts w:ascii="Times New Roman" w:hAnsi="Times New Roman" w:cs="Times New Roman"/>
          <w:sz w:val="28"/>
          <w:szCs w:val="28"/>
        </w:rPr>
        <w:t>202</w:t>
      </w:r>
      <w:r w:rsidR="00020CE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24B66">
        <w:rPr>
          <w:rFonts w:ascii="Times New Roman" w:hAnsi="Times New Roman" w:cs="Times New Roman"/>
          <w:sz w:val="28"/>
          <w:szCs w:val="28"/>
        </w:rPr>
        <w:t>-</w:t>
      </w:r>
      <w:r w:rsidR="009B035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24B66">
        <w:rPr>
          <w:rFonts w:ascii="Times New Roman" w:hAnsi="Times New Roman" w:cs="Times New Roman"/>
          <w:sz w:val="28"/>
          <w:szCs w:val="28"/>
        </w:rPr>
        <w:t>02</w:t>
      </w:r>
      <w:r w:rsidR="00020CE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24B66">
        <w:rPr>
          <w:rFonts w:ascii="Times New Roman" w:hAnsi="Times New Roman" w:cs="Times New Roman"/>
          <w:sz w:val="28"/>
          <w:szCs w:val="28"/>
        </w:rPr>
        <w:t xml:space="preserve"> роки</w:t>
      </w:r>
      <w:r w:rsidR="00CF24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24B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24B66">
        <w:rPr>
          <w:rFonts w:ascii="Times New Roman" w:hAnsi="Times New Roman" w:cs="Times New Roman"/>
          <w:sz w:val="28"/>
          <w:szCs w:val="28"/>
        </w:rPr>
        <w:t xml:space="preserve">розробленої відповідно до чинного законодавства і затвердженої </w:t>
      </w:r>
      <w:r w:rsidR="00020CE1">
        <w:rPr>
          <w:rFonts w:ascii="Times New Roman" w:hAnsi="Times New Roman" w:cs="Times New Roman"/>
          <w:sz w:val="28"/>
          <w:szCs w:val="28"/>
          <w:lang w:val="uk-UA"/>
        </w:rPr>
        <w:t xml:space="preserve">наказом </w:t>
      </w:r>
      <w:r w:rsidRPr="00C24B66">
        <w:rPr>
          <w:rFonts w:ascii="Times New Roman" w:hAnsi="Times New Roman" w:cs="Times New Roman"/>
          <w:sz w:val="28"/>
          <w:szCs w:val="28"/>
        </w:rPr>
        <w:t xml:space="preserve">Сумської міської </w:t>
      </w:r>
      <w:r w:rsidR="00020CE1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  <w:r w:rsidRPr="00C24B66">
        <w:rPr>
          <w:rFonts w:ascii="Times New Roman" w:hAnsi="Times New Roman" w:cs="Times New Roman"/>
          <w:sz w:val="28"/>
          <w:szCs w:val="28"/>
        </w:rPr>
        <w:t xml:space="preserve"> від </w:t>
      </w:r>
      <w:r w:rsidR="00020CE1">
        <w:rPr>
          <w:rFonts w:ascii="Times New Roman" w:hAnsi="Times New Roman" w:cs="Times New Roman"/>
          <w:sz w:val="28"/>
          <w:szCs w:val="28"/>
          <w:lang w:val="uk-UA"/>
        </w:rPr>
        <w:t>31.12.2024</w:t>
      </w:r>
      <w:r w:rsidR="00E516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C24B66">
        <w:rPr>
          <w:rFonts w:ascii="Times New Roman" w:hAnsi="Times New Roman" w:cs="Times New Roman"/>
          <w:sz w:val="28"/>
          <w:szCs w:val="28"/>
        </w:rPr>
        <w:t xml:space="preserve">№ </w:t>
      </w:r>
      <w:r w:rsidR="00020CE1">
        <w:rPr>
          <w:rFonts w:ascii="Times New Roman" w:hAnsi="Times New Roman" w:cs="Times New Roman"/>
          <w:sz w:val="28"/>
          <w:szCs w:val="28"/>
          <w:lang w:val="uk-UA"/>
        </w:rPr>
        <w:t xml:space="preserve">416-СМР </w:t>
      </w:r>
      <w:r w:rsidR="00C24B66" w:rsidRPr="00C24B66">
        <w:rPr>
          <w:rFonts w:ascii="Times New Roman" w:hAnsi="Times New Roman" w:cs="Times New Roman"/>
          <w:sz w:val="28"/>
          <w:szCs w:val="28"/>
        </w:rPr>
        <w:t>(зі змінами)</w:t>
      </w:r>
      <w:r w:rsidR="00F901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666576" w14:textId="7984954B" w:rsidR="00943F24" w:rsidRPr="008862D0" w:rsidRDefault="00943F24" w:rsidP="004347FC">
      <w:pPr>
        <w:spacing w:line="240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2D0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Відповідальним виконавцем </w:t>
      </w:r>
      <w:r w:rsidR="00762D78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Pr="008862D0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1A0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8862D0">
        <w:rPr>
          <w:rFonts w:ascii="Times New Roman" w:hAnsi="Times New Roman" w:cs="Times New Roman"/>
          <w:sz w:val="28"/>
          <w:szCs w:val="28"/>
          <w:lang w:val="uk-UA"/>
        </w:rPr>
        <w:t xml:space="preserve">епартамент соціального захисту населення Сумської міської ради, співвиконавцями </w:t>
      </w:r>
      <w:r w:rsidR="00E516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862D0">
        <w:rPr>
          <w:rFonts w:ascii="Times New Roman" w:hAnsi="Times New Roman" w:cs="Times New Roman"/>
          <w:sz w:val="28"/>
          <w:szCs w:val="28"/>
          <w:lang w:val="uk-UA"/>
        </w:rPr>
        <w:t xml:space="preserve"> відділ бухгалтерського обліку та звітності виконавчого комітету Сумської міської ради, </w:t>
      </w:r>
      <w:r w:rsidR="006E5F2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862D0">
        <w:rPr>
          <w:rFonts w:ascii="Times New Roman" w:hAnsi="Times New Roman" w:cs="Times New Roman"/>
          <w:sz w:val="28"/>
          <w:szCs w:val="28"/>
          <w:lang w:val="uk-UA"/>
        </w:rPr>
        <w:t>правління освіти і науки Сумської міської ради</w:t>
      </w:r>
      <w:r w:rsidR="000847FF" w:rsidRPr="008862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C06051" w14:textId="00062B1F" w:rsidR="000847FF" w:rsidRPr="008862D0" w:rsidRDefault="003A23CD" w:rsidP="004347FC">
      <w:pPr>
        <w:spacing w:line="240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62D0">
        <w:rPr>
          <w:rFonts w:ascii="Times New Roman" w:hAnsi="Times New Roman" w:cs="Times New Roman"/>
          <w:sz w:val="28"/>
          <w:szCs w:val="28"/>
          <w:lang w:val="uk-UA"/>
        </w:rPr>
        <w:t>Головними розпорядник</w:t>
      </w:r>
      <w:r w:rsidR="00647E97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8862D0">
        <w:rPr>
          <w:rFonts w:ascii="Times New Roman" w:hAnsi="Times New Roman" w:cs="Times New Roman"/>
          <w:sz w:val="28"/>
          <w:szCs w:val="28"/>
          <w:lang w:val="uk-UA"/>
        </w:rPr>
        <w:t xml:space="preserve"> бюджетних коштів</w:t>
      </w:r>
      <w:r w:rsidR="008B3764">
        <w:rPr>
          <w:rFonts w:ascii="Times New Roman" w:hAnsi="Times New Roman" w:cs="Times New Roman"/>
          <w:sz w:val="28"/>
          <w:szCs w:val="28"/>
          <w:lang w:val="uk-UA"/>
        </w:rPr>
        <w:t xml:space="preserve"> при виконанні заходів </w:t>
      </w:r>
      <w:r w:rsidR="00762D78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647E9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62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62D0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1A0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8862D0">
        <w:rPr>
          <w:rFonts w:ascii="Times New Roman" w:hAnsi="Times New Roman" w:cs="Times New Roman"/>
          <w:sz w:val="28"/>
          <w:szCs w:val="28"/>
          <w:lang w:val="uk-UA"/>
        </w:rPr>
        <w:t xml:space="preserve">епартамент соціального захисту населення Сумської міської ради, відділ бухгалтерського обліку та звітності виконавчого комітету Сумської міської ради, </w:t>
      </w:r>
      <w:r w:rsidR="006F1BC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862D0">
        <w:rPr>
          <w:rFonts w:ascii="Times New Roman" w:hAnsi="Times New Roman" w:cs="Times New Roman"/>
          <w:sz w:val="28"/>
          <w:szCs w:val="28"/>
          <w:lang w:val="uk-UA"/>
        </w:rPr>
        <w:t>правління освіти і науки Сумської міської ради</w:t>
      </w:r>
      <w:r w:rsidR="00CA41F4" w:rsidRPr="008862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35E019" w14:textId="77777777" w:rsidR="00DC7875" w:rsidRPr="00E81CFC" w:rsidRDefault="00DC7875" w:rsidP="004347FC">
      <w:pPr>
        <w:spacing w:line="240" w:lineRule="auto"/>
        <w:ind w:right="-607" w:firstLine="85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B" w14:textId="0D9D8F72" w:rsidR="00C24EED" w:rsidRPr="00321EA7" w:rsidRDefault="00342990" w:rsidP="00440B6A">
      <w:pPr>
        <w:pStyle w:val="a5"/>
        <w:numPr>
          <w:ilvl w:val="0"/>
          <w:numId w:val="1"/>
        </w:numPr>
        <w:spacing w:line="240" w:lineRule="auto"/>
        <w:ind w:left="0" w:right="14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645">
        <w:rPr>
          <w:rFonts w:ascii="Times New Roman" w:eastAsia="Times New Roman" w:hAnsi="Times New Roman" w:cs="Times New Roman"/>
          <w:sz w:val="28"/>
          <w:szCs w:val="28"/>
        </w:rPr>
        <w:t xml:space="preserve">Узагальнена інформація щодо виконання завдань та заходів програми. </w:t>
      </w:r>
    </w:p>
    <w:p w14:paraId="3491AFB2" w14:textId="41037B99" w:rsidR="00505D26" w:rsidRDefault="00505D26" w:rsidP="00440B6A">
      <w:pPr>
        <w:pStyle w:val="a5"/>
        <w:spacing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D26">
        <w:rPr>
          <w:rFonts w:ascii="Times New Roman" w:hAnsi="Times New Roman" w:cs="Times New Roman"/>
          <w:sz w:val="28"/>
          <w:szCs w:val="28"/>
          <w:lang w:val="uk-UA"/>
        </w:rPr>
        <w:t xml:space="preserve">Всього 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Pr="00505D26">
        <w:rPr>
          <w:rFonts w:ascii="Times New Roman" w:hAnsi="Times New Roman" w:cs="Times New Roman"/>
          <w:sz w:val="28"/>
          <w:szCs w:val="28"/>
          <w:lang w:val="uk-UA"/>
        </w:rPr>
        <w:t xml:space="preserve"> заходами програми охоплено більше 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505D26">
        <w:rPr>
          <w:rFonts w:ascii="Times New Roman" w:hAnsi="Times New Roman" w:cs="Times New Roman"/>
          <w:sz w:val="28"/>
          <w:szCs w:val="28"/>
          <w:lang w:val="uk-UA"/>
        </w:rPr>
        <w:t xml:space="preserve"> тисяч громадян, що складає 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 xml:space="preserve">98 </w:t>
      </w:r>
      <w:r w:rsidRPr="00505D26">
        <w:rPr>
          <w:rFonts w:ascii="Times New Roman" w:hAnsi="Times New Roman" w:cs="Times New Roman"/>
          <w:sz w:val="28"/>
          <w:szCs w:val="28"/>
          <w:lang w:val="uk-UA"/>
        </w:rPr>
        <w:t>% від запланованого показника (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 xml:space="preserve">72 331 </w:t>
      </w:r>
      <w:r w:rsidRPr="00505D26">
        <w:rPr>
          <w:rFonts w:ascii="Times New Roman" w:hAnsi="Times New Roman" w:cs="Times New Roman"/>
          <w:sz w:val="28"/>
          <w:szCs w:val="28"/>
          <w:lang w:val="uk-UA"/>
        </w:rPr>
        <w:t>особ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05D26">
        <w:rPr>
          <w:rFonts w:ascii="Times New Roman" w:hAnsi="Times New Roman" w:cs="Times New Roman"/>
          <w:sz w:val="28"/>
          <w:szCs w:val="28"/>
          <w:lang w:val="uk-UA"/>
        </w:rPr>
        <w:t xml:space="preserve">), яким надано додаткових соціальних гарантій на загальну суму 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>139,1</w:t>
      </w:r>
      <w:r w:rsidRPr="00505D26">
        <w:rPr>
          <w:rFonts w:ascii="Times New Roman" w:hAnsi="Times New Roman" w:cs="Times New Roman"/>
          <w:sz w:val="28"/>
          <w:szCs w:val="28"/>
          <w:lang w:val="uk-UA"/>
        </w:rPr>
        <w:t xml:space="preserve"> млн. гривень. Обсяг витрат на надання додаткових соціальних гарантій порівняно з попереднім 202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05D26">
        <w:rPr>
          <w:rFonts w:ascii="Times New Roman" w:hAnsi="Times New Roman" w:cs="Times New Roman"/>
          <w:sz w:val="28"/>
          <w:szCs w:val="28"/>
          <w:lang w:val="uk-UA"/>
        </w:rPr>
        <w:t xml:space="preserve"> роком (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>117</w:t>
      </w:r>
      <w:r w:rsidRPr="00505D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05D26">
        <w:rPr>
          <w:rFonts w:ascii="Times New Roman" w:hAnsi="Times New Roman" w:cs="Times New Roman"/>
          <w:sz w:val="28"/>
          <w:szCs w:val="28"/>
          <w:lang w:val="uk-UA"/>
        </w:rPr>
        <w:t xml:space="preserve"> млн. гривень) збільшився на 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505D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05D26">
        <w:rPr>
          <w:rFonts w:ascii="Times New Roman" w:hAnsi="Times New Roman" w:cs="Times New Roman"/>
          <w:sz w:val="28"/>
          <w:szCs w:val="28"/>
          <w:lang w:val="uk-UA"/>
        </w:rPr>
        <w:t xml:space="preserve"> %.</w:t>
      </w:r>
    </w:p>
    <w:p w14:paraId="46FDF279" w14:textId="77777777" w:rsidR="00EE2F0A" w:rsidRPr="00885009" w:rsidRDefault="00EE2F0A" w:rsidP="00885009">
      <w:pPr>
        <w:pStyle w:val="a5"/>
        <w:spacing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0C" w14:textId="35968797" w:rsidR="00C24EED" w:rsidRPr="000F684E" w:rsidRDefault="00342990" w:rsidP="00F32574">
      <w:pPr>
        <w:pStyle w:val="a5"/>
        <w:numPr>
          <w:ilvl w:val="0"/>
          <w:numId w:val="1"/>
        </w:numPr>
        <w:spacing w:line="240" w:lineRule="auto"/>
        <w:ind w:left="0" w:right="14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84E">
        <w:rPr>
          <w:rFonts w:ascii="Times New Roman" w:eastAsia="Times New Roman" w:hAnsi="Times New Roman" w:cs="Times New Roman"/>
          <w:sz w:val="28"/>
          <w:szCs w:val="28"/>
        </w:rPr>
        <w:t>Оцінка ефективності виконання програми.</w:t>
      </w:r>
    </w:p>
    <w:p w14:paraId="5DE99A6D" w14:textId="4C976E81" w:rsidR="008142C0" w:rsidRPr="000F684E" w:rsidRDefault="006E5F27" w:rsidP="00F32574">
      <w:pPr>
        <w:pStyle w:val="a5"/>
        <w:spacing w:line="240" w:lineRule="auto"/>
        <w:ind w:left="0" w:right="143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142C0" w:rsidRPr="000F6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8142C0" w:rsidRPr="000F684E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8142C0" w:rsidRPr="000F684E">
        <w:rPr>
          <w:rFonts w:ascii="Times New Roman" w:hAnsi="Times New Roman" w:cs="Times New Roman"/>
          <w:sz w:val="28"/>
          <w:szCs w:val="28"/>
          <w:lang w:val="uk-UA"/>
        </w:rPr>
        <w:t xml:space="preserve"> програма виконана на </w:t>
      </w:r>
      <w:r w:rsidR="001001D6">
        <w:rPr>
          <w:rFonts w:ascii="Times New Roman" w:hAnsi="Times New Roman" w:cs="Times New Roman"/>
          <w:sz w:val="28"/>
          <w:szCs w:val="28"/>
          <w:lang w:val="uk-UA"/>
        </w:rPr>
        <w:t>високому</w:t>
      </w:r>
      <w:r w:rsidR="008142C0" w:rsidRPr="000F684E">
        <w:rPr>
          <w:rFonts w:ascii="Times New Roman" w:hAnsi="Times New Roman" w:cs="Times New Roman"/>
          <w:sz w:val="28"/>
          <w:szCs w:val="28"/>
          <w:lang w:val="uk-UA"/>
        </w:rPr>
        <w:t xml:space="preserve"> рівні, адже з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139</w:t>
      </w:r>
      <w:r w:rsidR="007958AE" w:rsidRPr="000F68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142C0" w:rsidRPr="000F684E">
        <w:rPr>
          <w:rFonts w:ascii="Times New Roman" w:hAnsi="Times New Roman" w:cs="Times New Roman"/>
          <w:sz w:val="28"/>
          <w:szCs w:val="28"/>
        </w:rPr>
        <w:t xml:space="preserve"> </w:t>
      </w:r>
      <w:r w:rsidR="00034000" w:rsidRPr="000F684E">
        <w:rPr>
          <w:rFonts w:ascii="Times New Roman" w:hAnsi="Times New Roman" w:cs="Times New Roman"/>
          <w:sz w:val="28"/>
          <w:szCs w:val="28"/>
          <w:lang w:val="uk-UA"/>
        </w:rPr>
        <w:t>млн</w:t>
      </w:r>
      <w:r w:rsidR="008142C0" w:rsidRPr="000F684E">
        <w:rPr>
          <w:rFonts w:ascii="Times New Roman" w:hAnsi="Times New Roman" w:cs="Times New Roman"/>
          <w:sz w:val="28"/>
          <w:szCs w:val="28"/>
        </w:rPr>
        <w:t xml:space="preserve">. </w:t>
      </w:r>
      <w:r w:rsidR="001D07F4" w:rsidRPr="000F684E">
        <w:rPr>
          <w:rFonts w:ascii="Times New Roman" w:hAnsi="Times New Roman" w:cs="Times New Roman"/>
          <w:sz w:val="28"/>
          <w:szCs w:val="28"/>
        </w:rPr>
        <w:t>гривень</w:t>
      </w:r>
      <w:r w:rsidR="008142C0" w:rsidRPr="000F684E">
        <w:rPr>
          <w:rFonts w:ascii="Times New Roman" w:hAnsi="Times New Roman" w:cs="Times New Roman"/>
          <w:sz w:val="28"/>
          <w:szCs w:val="28"/>
          <w:lang w:val="uk-UA"/>
        </w:rPr>
        <w:t>, що були передбачені програмою</w:t>
      </w:r>
      <w:r w:rsidR="00EE2F0A" w:rsidRPr="000F6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2C0" w:rsidRPr="000F684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142C0" w:rsidRPr="000F684E">
        <w:rPr>
          <w:rFonts w:ascii="Times New Roman" w:hAnsi="Times New Roman" w:cs="Times New Roman"/>
          <w:sz w:val="28"/>
          <w:szCs w:val="28"/>
        </w:rPr>
        <w:t xml:space="preserve"> виконання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A6371" w:rsidRPr="000F6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2C0" w:rsidRPr="000F684E">
        <w:rPr>
          <w:rFonts w:ascii="Times New Roman" w:hAnsi="Times New Roman" w:cs="Times New Roman"/>
          <w:sz w:val="28"/>
          <w:szCs w:val="28"/>
          <w:lang w:val="uk-UA"/>
        </w:rPr>
        <w:t xml:space="preserve">фактично </w:t>
      </w:r>
      <w:r w:rsidR="008142C0" w:rsidRPr="000F684E">
        <w:rPr>
          <w:rFonts w:ascii="Times New Roman" w:hAnsi="Times New Roman" w:cs="Times New Roman"/>
          <w:sz w:val="28"/>
          <w:szCs w:val="28"/>
        </w:rPr>
        <w:t>профінансовано за рахунок коштів бюджету громади</w:t>
      </w:r>
      <w:r w:rsidR="00E65FA1" w:rsidRPr="000F68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>139</w:t>
      </w:r>
      <w:r w:rsidR="007958AE" w:rsidRPr="000F68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42C0" w:rsidRPr="000F6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4000" w:rsidRPr="000F684E">
        <w:rPr>
          <w:rFonts w:ascii="Times New Roman" w:hAnsi="Times New Roman" w:cs="Times New Roman"/>
          <w:sz w:val="28"/>
          <w:szCs w:val="28"/>
          <w:lang w:val="uk-UA"/>
        </w:rPr>
        <w:t>млн.</w:t>
      </w:r>
      <w:r w:rsidR="008142C0" w:rsidRPr="000F684E">
        <w:rPr>
          <w:rFonts w:ascii="Times New Roman" w:hAnsi="Times New Roman" w:cs="Times New Roman"/>
          <w:sz w:val="28"/>
          <w:szCs w:val="28"/>
        </w:rPr>
        <w:t xml:space="preserve"> гривень, що складає </w:t>
      </w:r>
      <w:r w:rsidR="00372E83">
        <w:rPr>
          <w:rFonts w:ascii="Times New Roman" w:hAnsi="Times New Roman" w:cs="Times New Roman"/>
          <w:sz w:val="28"/>
          <w:szCs w:val="28"/>
          <w:lang w:val="uk-UA"/>
        </w:rPr>
        <w:t>99,6</w:t>
      </w:r>
      <w:r w:rsidR="008142C0" w:rsidRPr="000F684E">
        <w:rPr>
          <w:rFonts w:ascii="Times New Roman" w:hAnsi="Times New Roman" w:cs="Times New Roman"/>
          <w:sz w:val="28"/>
          <w:szCs w:val="28"/>
        </w:rPr>
        <w:t xml:space="preserve"> % від передбаченої програмою суми</w:t>
      </w:r>
      <w:r w:rsidR="008142C0" w:rsidRPr="000F68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42C0" w:rsidRPr="000F68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BC74B22" w14:textId="67625D97" w:rsidR="00866655" w:rsidRPr="005709A7" w:rsidRDefault="00CB3B61" w:rsidP="00F32574">
      <w:pPr>
        <w:pStyle w:val="a5"/>
        <w:spacing w:line="240" w:lineRule="auto"/>
        <w:ind w:left="0" w:right="143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684E">
        <w:rPr>
          <w:rFonts w:ascii="Times New Roman" w:hAnsi="Times New Roman" w:cs="Times New Roman"/>
          <w:sz w:val="28"/>
          <w:szCs w:val="28"/>
          <w:lang w:val="uk-UA"/>
        </w:rPr>
        <w:t>Найбільший обсяг видатків</w:t>
      </w:r>
      <w:r w:rsidR="000E1F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23F8" w:rsidRPr="000F684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012D8" w:rsidRPr="003012D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012D8">
        <w:rPr>
          <w:rFonts w:ascii="Times New Roman" w:hAnsi="Times New Roman" w:cs="Times New Roman"/>
          <w:sz w:val="28"/>
          <w:szCs w:val="28"/>
          <w:lang w:val="uk-UA"/>
        </w:rPr>
        <w:t>5,</w:t>
      </w:r>
      <w:r w:rsidR="00BA2DE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723F8" w:rsidRPr="000F684E">
        <w:rPr>
          <w:rFonts w:ascii="Times New Roman" w:hAnsi="Times New Roman" w:cs="Times New Roman"/>
          <w:sz w:val="28"/>
          <w:szCs w:val="28"/>
          <w:lang w:val="uk-UA"/>
        </w:rPr>
        <w:t xml:space="preserve"> млн. гривень, або </w:t>
      </w:r>
      <w:r w:rsidR="003012D8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D07E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2DE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723F8" w:rsidRPr="000F684E">
        <w:rPr>
          <w:rFonts w:ascii="Times New Roman" w:hAnsi="Times New Roman" w:cs="Times New Roman"/>
          <w:sz w:val="28"/>
          <w:szCs w:val="28"/>
          <w:lang w:val="uk-UA"/>
        </w:rPr>
        <w:t xml:space="preserve"> % від загального </w:t>
      </w:r>
      <w:r w:rsidR="009452D8" w:rsidRPr="000F684E">
        <w:rPr>
          <w:rFonts w:ascii="Times New Roman" w:hAnsi="Times New Roman" w:cs="Times New Roman"/>
          <w:sz w:val="28"/>
          <w:szCs w:val="28"/>
          <w:lang w:val="uk-UA"/>
        </w:rPr>
        <w:t>обсягу використаних коштів</w:t>
      </w:r>
      <w:r w:rsidR="003723F8" w:rsidRPr="000F684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0F684E">
        <w:rPr>
          <w:rFonts w:ascii="Times New Roman" w:hAnsi="Times New Roman" w:cs="Times New Roman"/>
          <w:sz w:val="28"/>
          <w:szCs w:val="28"/>
          <w:lang w:val="uk-UA"/>
        </w:rPr>
        <w:t xml:space="preserve">було направлено </w:t>
      </w:r>
      <w:r w:rsidR="003723F8" w:rsidRPr="000F684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3723F8" w:rsidRPr="005709A7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 напр</w:t>
      </w:r>
      <w:r w:rsidR="00866655" w:rsidRPr="005709A7">
        <w:rPr>
          <w:rFonts w:ascii="Times New Roman" w:hAnsi="Times New Roman" w:cs="Times New Roman"/>
          <w:sz w:val="28"/>
          <w:szCs w:val="28"/>
          <w:lang w:val="uk-UA"/>
        </w:rPr>
        <w:t>ямк</w:t>
      </w:r>
      <w:r w:rsidR="00D5414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66655" w:rsidRPr="005709A7">
        <w:rPr>
          <w:rFonts w:ascii="Times New Roman" w:hAnsi="Times New Roman" w:cs="Times New Roman"/>
          <w:sz w:val="28"/>
          <w:szCs w:val="28"/>
          <w:lang w:val="uk-UA"/>
        </w:rPr>
        <w:t>, що раніше фінансувалися за рахунок коштів Державного бюджету України,</w:t>
      </w:r>
      <w:r w:rsidR="00DD3626" w:rsidRPr="00570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14F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DD3626" w:rsidRPr="005709A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012D8">
        <w:rPr>
          <w:rFonts w:ascii="Times New Roman" w:hAnsi="Times New Roman" w:cs="Times New Roman"/>
          <w:sz w:val="28"/>
          <w:szCs w:val="28"/>
          <w:lang w:val="uk-UA"/>
        </w:rPr>
        <w:t>73</w:t>
      </w:r>
      <w:r w:rsidR="00D07E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12D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66655" w:rsidRPr="005709A7">
        <w:rPr>
          <w:rFonts w:ascii="Times New Roman" w:hAnsi="Times New Roman" w:cs="Times New Roman"/>
          <w:sz w:val="28"/>
          <w:szCs w:val="28"/>
          <w:lang w:val="uk-UA"/>
        </w:rPr>
        <w:t xml:space="preserve"> млн. гривень – для здійснення розрахунків за пільгове перевезення окремих категорі</w:t>
      </w:r>
      <w:r w:rsidR="00BC197A" w:rsidRPr="005709A7">
        <w:rPr>
          <w:rFonts w:ascii="Times New Roman" w:hAnsi="Times New Roman" w:cs="Times New Roman"/>
          <w:sz w:val="28"/>
          <w:szCs w:val="28"/>
          <w:lang w:val="uk-UA"/>
        </w:rPr>
        <w:t xml:space="preserve">й громадян в міському </w:t>
      </w:r>
      <w:proofErr w:type="spellStart"/>
      <w:r w:rsidR="00BC197A" w:rsidRPr="005709A7">
        <w:rPr>
          <w:rFonts w:ascii="Times New Roman" w:hAnsi="Times New Roman" w:cs="Times New Roman"/>
          <w:sz w:val="28"/>
          <w:szCs w:val="28"/>
          <w:lang w:val="uk-UA"/>
        </w:rPr>
        <w:t>електро</w:t>
      </w:r>
      <w:proofErr w:type="spellEnd"/>
      <w:r w:rsidR="00BC197A" w:rsidRPr="005709A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541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655" w:rsidRPr="005709A7">
        <w:rPr>
          <w:rFonts w:ascii="Times New Roman" w:hAnsi="Times New Roman" w:cs="Times New Roman"/>
          <w:sz w:val="28"/>
          <w:szCs w:val="28"/>
          <w:lang w:val="uk-UA"/>
        </w:rPr>
        <w:t>та автотранспорті</w:t>
      </w:r>
      <w:r w:rsidR="00D07EA9">
        <w:rPr>
          <w:rFonts w:ascii="Times New Roman" w:hAnsi="Times New Roman" w:cs="Times New Roman"/>
          <w:sz w:val="28"/>
          <w:szCs w:val="28"/>
          <w:lang w:val="uk-UA"/>
        </w:rPr>
        <w:t xml:space="preserve"> та приміському автотранспорті</w:t>
      </w:r>
      <w:r w:rsidR="00D8693F" w:rsidRPr="005709A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C197A" w:rsidRPr="00570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12D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07E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12D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66655" w:rsidRPr="005709A7">
        <w:rPr>
          <w:rFonts w:ascii="Times New Roman" w:hAnsi="Times New Roman" w:cs="Times New Roman"/>
          <w:sz w:val="28"/>
          <w:szCs w:val="28"/>
          <w:lang w:val="uk-UA"/>
        </w:rPr>
        <w:t xml:space="preserve"> млн. гривень </w:t>
      </w:r>
      <w:r w:rsidR="00D5414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66655" w:rsidRPr="005709A7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D541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655" w:rsidRPr="005709A7">
        <w:rPr>
          <w:rFonts w:ascii="Times New Roman" w:hAnsi="Times New Roman" w:cs="Times New Roman"/>
          <w:sz w:val="28"/>
          <w:szCs w:val="28"/>
          <w:lang w:val="uk-UA"/>
        </w:rPr>
        <w:t>компенсацію в</w:t>
      </w:r>
      <w:r w:rsidR="00D5414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66655" w:rsidRPr="005709A7">
        <w:rPr>
          <w:rFonts w:ascii="Times New Roman" w:hAnsi="Times New Roman" w:cs="Times New Roman"/>
          <w:sz w:val="28"/>
          <w:szCs w:val="28"/>
          <w:lang w:val="uk-UA"/>
        </w:rPr>
        <w:t>трат за пільгове перевезення залізничним транспортом</w:t>
      </w:r>
      <w:r w:rsidR="00D8693F" w:rsidRPr="005709A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D07E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3012D8">
        <w:rPr>
          <w:rFonts w:ascii="Times New Roman" w:hAnsi="Times New Roman" w:cs="Times New Roman"/>
          <w:sz w:val="28"/>
          <w:szCs w:val="28"/>
          <w:lang w:val="uk-UA"/>
        </w:rPr>
        <w:lastRenderedPageBreak/>
        <w:t>472,1 тис</w:t>
      </w:r>
      <w:r w:rsidR="00866655" w:rsidRPr="005709A7">
        <w:rPr>
          <w:rFonts w:ascii="Times New Roman" w:hAnsi="Times New Roman" w:cs="Times New Roman"/>
          <w:sz w:val="28"/>
          <w:szCs w:val="28"/>
          <w:lang w:val="uk-UA"/>
        </w:rPr>
        <w:t xml:space="preserve">. гривень – для відшкодування пільг за надані послуги зв’язку ветеранам війни, «чорнобильцям», багатодітним </w:t>
      </w:r>
      <w:r w:rsidR="005709A7">
        <w:rPr>
          <w:rFonts w:ascii="Times New Roman" w:hAnsi="Times New Roman" w:cs="Times New Roman"/>
          <w:sz w:val="28"/>
          <w:szCs w:val="28"/>
          <w:lang w:val="uk-UA"/>
        </w:rPr>
        <w:t>сім’ям та іншим категоріям осіб</w:t>
      </w:r>
      <w:r w:rsidR="00D5414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709A7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14:paraId="7299E79E" w14:textId="2B08C893" w:rsidR="00CB3B61" w:rsidRPr="00FB2477" w:rsidRDefault="00412109" w:rsidP="00F32574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477">
        <w:rPr>
          <w:rFonts w:ascii="Times New Roman" w:hAnsi="Times New Roman" w:cs="Times New Roman"/>
          <w:sz w:val="28"/>
          <w:szCs w:val="28"/>
          <w:lang w:val="uk-UA"/>
        </w:rPr>
        <w:t>13,</w:t>
      </w:r>
      <w:r w:rsidR="008F2CE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B2477">
        <w:rPr>
          <w:rFonts w:ascii="Times New Roman" w:hAnsi="Times New Roman" w:cs="Times New Roman"/>
          <w:sz w:val="28"/>
          <w:szCs w:val="28"/>
          <w:lang w:val="uk-UA"/>
        </w:rPr>
        <w:t xml:space="preserve"> % від загального обсягу фінансування програми було </w:t>
      </w:r>
      <w:r w:rsidR="00565A91">
        <w:rPr>
          <w:rFonts w:ascii="Times New Roman" w:hAnsi="Times New Roman" w:cs="Times New Roman"/>
          <w:sz w:val="28"/>
          <w:szCs w:val="28"/>
          <w:lang w:val="uk-UA"/>
        </w:rPr>
        <w:t>використано</w:t>
      </w:r>
      <w:r w:rsidRPr="00FB2477">
        <w:rPr>
          <w:rFonts w:ascii="Times New Roman" w:hAnsi="Times New Roman" w:cs="Times New Roman"/>
          <w:sz w:val="28"/>
          <w:szCs w:val="28"/>
          <w:lang w:val="uk-UA"/>
        </w:rPr>
        <w:t xml:space="preserve">  на виплату компенсації </w:t>
      </w:r>
      <w:r w:rsidR="008F2CE5">
        <w:rPr>
          <w:rFonts w:ascii="Times New Roman" w:hAnsi="Times New Roman" w:cs="Times New Roman"/>
          <w:sz w:val="28"/>
          <w:szCs w:val="28"/>
          <w:lang w:val="uk-UA"/>
        </w:rPr>
        <w:t xml:space="preserve">більше ніж </w:t>
      </w:r>
      <w:r w:rsidR="00D07EA9">
        <w:rPr>
          <w:rFonts w:ascii="Times New Roman" w:hAnsi="Times New Roman" w:cs="Times New Roman"/>
          <w:sz w:val="28"/>
          <w:szCs w:val="28"/>
          <w:lang w:val="uk-UA"/>
        </w:rPr>
        <w:t xml:space="preserve">600 </w:t>
      </w:r>
      <w:r w:rsidRPr="00FB2477">
        <w:rPr>
          <w:rFonts w:ascii="Times New Roman" w:hAnsi="Times New Roman" w:cs="Times New Roman"/>
          <w:sz w:val="28"/>
          <w:szCs w:val="28"/>
          <w:lang w:val="uk-UA"/>
        </w:rPr>
        <w:t>фізичн</w:t>
      </w:r>
      <w:r w:rsidR="00D07EA9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B2477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D07EA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FB2477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D07EA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B2477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D07EA9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FB2477">
        <w:rPr>
          <w:rFonts w:ascii="Times New Roman" w:hAnsi="Times New Roman" w:cs="Times New Roman"/>
          <w:sz w:val="28"/>
          <w:szCs w:val="28"/>
          <w:lang w:val="uk-UA"/>
        </w:rPr>
        <w:t xml:space="preserve"> соціальні послуги з догляду на непрофесійній основі</w:t>
      </w:r>
      <w:r w:rsidR="00FB2477" w:rsidRPr="00FB247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F2CE5">
        <w:rPr>
          <w:rFonts w:ascii="Times New Roman" w:hAnsi="Times New Roman" w:cs="Times New Roman"/>
          <w:sz w:val="28"/>
          <w:szCs w:val="28"/>
          <w:lang w:val="uk-UA"/>
        </w:rPr>
        <w:t>18,1</w:t>
      </w:r>
      <w:r w:rsidR="00FB2477" w:rsidRPr="00FB2477">
        <w:rPr>
          <w:rFonts w:ascii="Times New Roman" w:hAnsi="Times New Roman" w:cs="Times New Roman"/>
          <w:sz w:val="28"/>
          <w:szCs w:val="28"/>
          <w:lang w:val="uk-UA"/>
        </w:rPr>
        <w:t xml:space="preserve"> млн. гривень).</w:t>
      </w:r>
    </w:p>
    <w:p w14:paraId="5DA232AD" w14:textId="73D2AF94" w:rsidR="00CB3B61" w:rsidRPr="00445A63" w:rsidRDefault="00E65FA1" w:rsidP="00F32574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F13E31">
        <w:rPr>
          <w:rFonts w:ascii="Times New Roman" w:hAnsi="Times New Roman" w:cs="Times New Roman"/>
          <w:sz w:val="28"/>
          <w:szCs w:val="28"/>
          <w:lang w:val="uk-UA"/>
        </w:rPr>
        <w:t>підтримк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3E31">
        <w:rPr>
          <w:rFonts w:ascii="Times New Roman" w:hAnsi="Times New Roman" w:cs="Times New Roman"/>
          <w:sz w:val="28"/>
          <w:szCs w:val="28"/>
          <w:lang w:val="uk-UA"/>
        </w:rPr>
        <w:t xml:space="preserve"> мешканців громади, які постраждали внаслідок повітряних або артилерійських обстрілів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07EA9">
        <w:rPr>
          <w:rFonts w:ascii="Times New Roman" w:hAnsi="Times New Roman" w:cs="Times New Roman"/>
          <w:sz w:val="28"/>
          <w:szCs w:val="28"/>
          <w:lang w:val="uk-UA"/>
        </w:rPr>
        <w:t>протягом 202</w:t>
      </w:r>
      <w:r w:rsidR="008F2CE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07EA9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8F2CE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7E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A91" w:rsidRPr="00F13E31">
        <w:rPr>
          <w:rFonts w:ascii="Times New Roman" w:hAnsi="Times New Roman" w:cs="Times New Roman"/>
          <w:sz w:val="28"/>
          <w:szCs w:val="28"/>
          <w:lang w:val="uk-UA"/>
        </w:rPr>
        <w:t xml:space="preserve">було направлено </w:t>
      </w:r>
      <w:r w:rsidR="008F2CE5" w:rsidRPr="00445A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31,1 </w:t>
      </w:r>
      <w:r w:rsidR="004958C0" w:rsidRPr="00445A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млн</w:t>
      </w:r>
      <w:r w:rsidR="00CB3B61" w:rsidRPr="00445A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гривень (</w:t>
      </w:r>
      <w:r w:rsidR="00445A63" w:rsidRPr="00445A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22</w:t>
      </w:r>
      <w:r w:rsidR="00DB1E7D" w:rsidRPr="00445A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445A63" w:rsidRPr="00445A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B3B61" w:rsidRPr="00445A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%)</w:t>
      </w:r>
      <w:r w:rsidR="00565A91" w:rsidRPr="00445A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CB3B61" w:rsidRPr="00445A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E5F27" w:rsidRPr="00445A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CB3B61" w:rsidRPr="00445A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тому числі:</w:t>
      </w:r>
    </w:p>
    <w:p w14:paraId="327F0C1D" w14:textId="170617F9" w:rsidR="00CB3B61" w:rsidRPr="00DB1E7D" w:rsidRDefault="008F2CE5" w:rsidP="00F32574">
      <w:pPr>
        <w:pStyle w:val="a5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48</w:t>
      </w:r>
      <w:r w:rsidR="00CB3B61" w:rsidRPr="00DB1E7D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сім’ям, члени яких загинули під час обстрілів, надано допомогу на суму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12</w:t>
      </w:r>
      <w:r w:rsidR="00CB3B61" w:rsidRPr="00DB1E7D">
        <w:rPr>
          <w:rFonts w:ascii="Times New Roman" w:hAnsi="Times New Roman"/>
          <w:color w:val="000000"/>
          <w:sz w:val="28"/>
          <w:szCs w:val="28"/>
          <w:lang w:val="uk-UA"/>
        </w:rPr>
        <w:t xml:space="preserve"> млн. гривень;  </w:t>
      </w:r>
    </w:p>
    <w:p w14:paraId="4F007247" w14:textId="29C72839" w:rsidR="00CB3B61" w:rsidRDefault="002F7BFF" w:rsidP="00F32574">
      <w:pPr>
        <w:pStyle w:val="a5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B1E7D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="008F2CE5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r w:rsidR="00B4630B" w:rsidRPr="00DB1E7D">
        <w:rPr>
          <w:rFonts w:ascii="Times New Roman" w:hAnsi="Times New Roman"/>
          <w:color w:val="000000"/>
          <w:sz w:val="28"/>
          <w:szCs w:val="28"/>
          <w:lang w:val="uk-UA"/>
        </w:rPr>
        <w:t xml:space="preserve"> мешканцям</w:t>
      </w:r>
      <w:r w:rsidR="00CB3B61" w:rsidRPr="00DB1E7D">
        <w:rPr>
          <w:rFonts w:ascii="Times New Roman" w:hAnsi="Times New Roman"/>
          <w:color w:val="000000"/>
          <w:sz w:val="28"/>
          <w:szCs w:val="28"/>
          <w:lang w:val="uk-UA"/>
        </w:rPr>
        <w:t xml:space="preserve">, житло яких постраждало внаслідок обстрілів, виплачено допомогу на суму </w:t>
      </w:r>
      <w:r w:rsidR="008F2CE5">
        <w:rPr>
          <w:rFonts w:ascii="Times New Roman" w:hAnsi="Times New Roman"/>
          <w:color w:val="000000"/>
          <w:sz w:val="28"/>
          <w:szCs w:val="28"/>
          <w:lang w:val="uk-UA"/>
        </w:rPr>
        <w:t>11</w:t>
      </w:r>
      <w:r w:rsidR="00540C40" w:rsidRPr="00DB1E7D">
        <w:rPr>
          <w:rFonts w:ascii="Times New Roman" w:hAnsi="Times New Roman"/>
          <w:color w:val="000000"/>
          <w:sz w:val="28"/>
          <w:szCs w:val="28"/>
          <w:lang w:val="uk-UA"/>
        </w:rPr>
        <w:t xml:space="preserve"> млн</w:t>
      </w:r>
      <w:r w:rsidR="00CB3B61" w:rsidRPr="00DB1E7D">
        <w:rPr>
          <w:rFonts w:ascii="Times New Roman" w:hAnsi="Times New Roman"/>
          <w:color w:val="000000"/>
          <w:sz w:val="28"/>
          <w:szCs w:val="28"/>
          <w:lang w:val="uk-UA"/>
        </w:rPr>
        <w:t xml:space="preserve">. гривень та </w:t>
      </w:r>
      <w:r w:rsidRPr="00DB1E7D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8F2CE5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CB3B61" w:rsidRPr="00DB1E7D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домогосподарствам, які самостійно відновили житло, на суму </w:t>
      </w:r>
      <w:r w:rsidR="007003E4" w:rsidRPr="00DB1E7D">
        <w:rPr>
          <w:rFonts w:ascii="Times New Roman" w:hAnsi="Times New Roman"/>
          <w:color w:val="000000"/>
          <w:sz w:val="28"/>
          <w:szCs w:val="28"/>
          <w:lang w:val="uk-UA"/>
        </w:rPr>
        <w:t>1,</w:t>
      </w:r>
      <w:r w:rsidR="008F2CE5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CB3B61" w:rsidRPr="00DB1E7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003E4" w:rsidRPr="00DB1E7D">
        <w:rPr>
          <w:rFonts w:ascii="Times New Roman" w:hAnsi="Times New Roman"/>
          <w:color w:val="000000"/>
          <w:sz w:val="28"/>
          <w:szCs w:val="28"/>
          <w:lang w:val="uk-UA"/>
        </w:rPr>
        <w:t>млн</w:t>
      </w:r>
      <w:r w:rsidR="00CB3B61" w:rsidRPr="00DB1E7D">
        <w:rPr>
          <w:rFonts w:ascii="Times New Roman" w:hAnsi="Times New Roman"/>
          <w:color w:val="000000"/>
          <w:sz w:val="28"/>
          <w:szCs w:val="28"/>
          <w:lang w:val="uk-UA"/>
        </w:rPr>
        <w:t>. гривень;</w:t>
      </w:r>
    </w:p>
    <w:p w14:paraId="585EEAF9" w14:textId="08028A7F" w:rsidR="008F2CE5" w:rsidRPr="00DB1E7D" w:rsidRDefault="008F2CE5" w:rsidP="00F32574">
      <w:pPr>
        <w:pStyle w:val="a5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117 </w:t>
      </w:r>
      <w:r>
        <w:rPr>
          <w:rFonts w:ascii="Times New Roman" w:hAnsi="Times New Roman"/>
          <w:color w:val="000000"/>
          <w:sz w:val="28"/>
          <w:szCs w:val="28"/>
        </w:rPr>
        <w:t>мешканцям домогосподарств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 окремих будинках по вулиці Героїв Крут міста Суми </w:t>
      </w:r>
      <w:r w:rsidR="00445A63">
        <w:rPr>
          <w:rFonts w:ascii="Times New Roman" w:hAnsi="Times New Roman"/>
          <w:color w:val="000000"/>
          <w:sz w:val="28"/>
          <w:szCs w:val="28"/>
          <w:lang w:val="uk-UA"/>
        </w:rPr>
        <w:t xml:space="preserve">виплачено допомогу </w:t>
      </w:r>
      <w:r w:rsidR="00445A63">
        <w:rPr>
          <w:rFonts w:ascii="Times New Roman" w:hAnsi="Times New Roman"/>
          <w:color w:val="000000"/>
          <w:sz w:val="28"/>
          <w:szCs w:val="28"/>
        </w:rPr>
        <w:t>для самостійного</w:t>
      </w:r>
      <w:r w:rsidR="00BA2DE7">
        <w:rPr>
          <w:rFonts w:ascii="Times New Roman" w:hAnsi="Times New Roman"/>
          <w:color w:val="000000"/>
          <w:sz w:val="28"/>
          <w:szCs w:val="28"/>
          <w:lang w:val="uk-UA"/>
        </w:rPr>
        <w:t xml:space="preserve"> / за самостійне </w:t>
      </w:r>
      <w:r w:rsidR="00445A63">
        <w:rPr>
          <w:rFonts w:ascii="Times New Roman" w:hAnsi="Times New Roman"/>
          <w:color w:val="000000"/>
          <w:sz w:val="28"/>
          <w:szCs w:val="28"/>
        </w:rPr>
        <w:t xml:space="preserve"> відновлення  вікон та балконних блоків, які зазнали пошкоджень внаслідок ракетного удару зі сторони країни агресора російської федерації 17.11.2024,</w:t>
      </w:r>
      <w:r w:rsidR="00445A63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суму 4,2 млн. гривень;</w:t>
      </w:r>
    </w:p>
    <w:p w14:paraId="56DC1940" w14:textId="780A2A2B" w:rsidR="00CB3B61" w:rsidRPr="00445A63" w:rsidRDefault="00024C4E" w:rsidP="00F32574">
      <w:pPr>
        <w:pStyle w:val="a5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5A63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445A63" w:rsidRPr="00445A63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CB3B61" w:rsidRPr="00445A63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сім’ям, житло яких постраждало, надано матеріальну допомогу на проживання (щомісяця від 3 500 гривень до 6 500 гривень залежно від кількості членів сімей) на суму </w:t>
      </w:r>
      <w:r w:rsidR="00445A63" w:rsidRPr="00445A63">
        <w:rPr>
          <w:rFonts w:ascii="Times New Roman" w:hAnsi="Times New Roman"/>
          <w:color w:val="000000"/>
          <w:sz w:val="28"/>
          <w:szCs w:val="28"/>
          <w:lang w:val="uk-UA"/>
        </w:rPr>
        <w:t>2,</w:t>
      </w:r>
      <w:r w:rsidR="00445A63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BC7150" w:rsidRPr="00445A6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F7BFF" w:rsidRPr="00445A63">
        <w:rPr>
          <w:rFonts w:ascii="Times New Roman" w:hAnsi="Times New Roman"/>
          <w:color w:val="000000"/>
          <w:sz w:val="28"/>
          <w:szCs w:val="28"/>
          <w:lang w:val="uk-UA"/>
        </w:rPr>
        <w:t>млн.</w:t>
      </w:r>
      <w:r w:rsidR="00CB3B61" w:rsidRPr="00445A63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гривень.</w:t>
      </w:r>
    </w:p>
    <w:p w14:paraId="0BA834CE" w14:textId="77777777" w:rsidR="009D14C2" w:rsidRPr="009D14C2" w:rsidRDefault="009D14C2" w:rsidP="001B459C">
      <w:pPr>
        <w:pStyle w:val="a5"/>
        <w:spacing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B42780F" w14:textId="06BEC080" w:rsidR="0020354E" w:rsidRPr="00373B23" w:rsidRDefault="0020354E" w:rsidP="00CC01BB">
      <w:pPr>
        <w:pStyle w:val="a5"/>
        <w:spacing w:line="240" w:lineRule="auto"/>
        <w:ind w:left="0" w:right="119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Виконання в звітному </w:t>
      </w:r>
      <w:r w:rsidR="006F1BCE" w:rsidRPr="0037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періоді</w:t>
      </w:r>
      <w:r w:rsidRPr="0037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заходів програми забезпечило надання додаткових до встановлених законодавством гарантій щодо соціального захисту окремих категорій мешканців Сумської міської</w:t>
      </w:r>
      <w:r w:rsidRPr="00373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територіальної громади</w:t>
      </w:r>
      <w:r w:rsidRPr="0037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 w:rsidRPr="00373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3B23">
        <w:rPr>
          <w:rFonts w:ascii="Times New Roman" w:hAnsi="Times New Roman" w:cs="Times New Roman"/>
          <w:color w:val="000000" w:themeColor="text1"/>
          <w:sz w:val="28"/>
          <w:szCs w:val="28"/>
        </w:rPr>
        <w:t>охоп</w:t>
      </w:r>
      <w:r w:rsidRPr="0037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ило</w:t>
      </w:r>
      <w:proofErr w:type="spellEnd"/>
      <w:r w:rsidRPr="00373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F27" w:rsidRPr="0037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різні</w:t>
      </w:r>
      <w:r w:rsidRPr="00373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вікові категорії населення. Особлива увага приділялася пенсіонерам, ветеранам, особам з інвалідністю, учасникам ліквідації наслідків аварії на ЧАЕС</w:t>
      </w:r>
      <w:r w:rsidRPr="0037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Pr="00373B23">
        <w:rPr>
          <w:rFonts w:ascii="Times New Roman" w:hAnsi="Times New Roman" w:cs="Times New Roman"/>
          <w:color w:val="000000" w:themeColor="text1"/>
          <w:sz w:val="28"/>
          <w:szCs w:val="28"/>
        </w:rPr>
        <w:t>іншим особам</w:t>
      </w:r>
      <w:r w:rsidR="00B7455E" w:rsidRPr="0037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які опинились в складних життєвих обставинах, </w:t>
      </w:r>
      <w:r w:rsidR="00373B23" w:rsidRPr="0037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тому числі дітей, </w:t>
      </w:r>
      <w:r w:rsidR="00B7455E" w:rsidRPr="0037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особливо через повномасштабне вторгнення російської федерації в Україну.</w:t>
      </w:r>
    </w:p>
    <w:p w14:paraId="2B6B93EC" w14:textId="77777777" w:rsidR="00445A63" w:rsidRPr="00373B23" w:rsidRDefault="00445A63" w:rsidP="00CC01BB">
      <w:pPr>
        <w:pStyle w:val="a5"/>
        <w:spacing w:line="240" w:lineRule="auto"/>
        <w:ind w:left="0" w:right="119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000000E" w14:textId="4795E229" w:rsidR="00C24EED" w:rsidRPr="00373B23" w:rsidRDefault="00342990" w:rsidP="00CC01BB">
      <w:pPr>
        <w:pStyle w:val="a5"/>
        <w:numPr>
          <w:ilvl w:val="0"/>
          <w:numId w:val="2"/>
        </w:numPr>
        <w:spacing w:line="240" w:lineRule="auto"/>
        <w:ind w:left="0" w:right="14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3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Обґрунтування причин невиконання (низького рівня виконання) програми</w:t>
      </w:r>
      <w:r w:rsidR="006427B0" w:rsidRPr="00373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0096A6F" w14:textId="5EA60F3D" w:rsidR="0020354E" w:rsidRPr="00373B23" w:rsidRDefault="0020354E" w:rsidP="00CC01BB">
      <w:pPr>
        <w:spacing w:line="240" w:lineRule="auto"/>
        <w:ind w:right="143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Завдання та заходи програми виконувались </w:t>
      </w:r>
      <w:r w:rsidR="002A7184" w:rsidRPr="0037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визначені терміни </w:t>
      </w:r>
      <w:r w:rsidRPr="0037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умови відповідного фінансування та з урахуванням запровадження воєнного стану в Україні.</w:t>
      </w:r>
    </w:p>
    <w:p w14:paraId="4C94A4C7" w14:textId="77777777" w:rsidR="00342990" w:rsidRPr="00445A63" w:rsidRDefault="00342990" w:rsidP="00342990">
      <w:pPr>
        <w:pStyle w:val="a5"/>
        <w:ind w:left="0" w:right="143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14:paraId="0000000F" w14:textId="3E3E1A1C" w:rsidR="00C24EED" w:rsidRPr="00373B23" w:rsidRDefault="00342990" w:rsidP="00CC01BB">
      <w:pPr>
        <w:ind w:right="14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3B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Пропозиції щодо забезпечення подальшого виконання.</w:t>
      </w:r>
    </w:p>
    <w:p w14:paraId="42A1CE21" w14:textId="7797DCDB" w:rsidR="00177C98" w:rsidRPr="00373B23" w:rsidRDefault="00177C98" w:rsidP="00CC01BB">
      <w:pPr>
        <w:spacing w:line="240" w:lineRule="auto"/>
        <w:ind w:right="143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3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 заходів програми сприяло вирішенню питань соціального захисту та соціального забезпечення мешканців </w:t>
      </w:r>
      <w:r w:rsidR="003A6932" w:rsidRPr="0037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громади</w:t>
      </w:r>
      <w:r w:rsidRPr="00373B23">
        <w:rPr>
          <w:rFonts w:ascii="Times New Roman" w:hAnsi="Times New Roman" w:cs="Times New Roman"/>
          <w:color w:val="000000" w:themeColor="text1"/>
          <w:sz w:val="28"/>
          <w:szCs w:val="28"/>
        </w:rPr>
        <w:t>, що перебувають у складних життєвих обставинах і потребують соціальної підтримки, шляхом адресності соціальних послуг та з урахуванням реальних потреб</w:t>
      </w:r>
      <w:r w:rsidR="00875032" w:rsidRPr="00373B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6F7C8640" w14:textId="00E213BA" w:rsidR="006C0E11" w:rsidRPr="00373B23" w:rsidRDefault="006C0E11" w:rsidP="00CC01BB">
      <w:pPr>
        <w:spacing w:line="240" w:lineRule="auto"/>
        <w:ind w:right="14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3B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Вважаємо за доцільне продовжити </w:t>
      </w:r>
      <w:r w:rsidR="00177C98" w:rsidRPr="00373B23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 п</w:t>
      </w:r>
      <w:r w:rsidRPr="00373B23">
        <w:rPr>
          <w:rFonts w:ascii="Times New Roman" w:hAnsi="Times New Roman" w:cs="Times New Roman"/>
          <w:color w:val="000000" w:themeColor="text1"/>
          <w:sz w:val="28"/>
          <w:szCs w:val="28"/>
        </w:rPr>
        <w:t>рограми та здійснювати відповідне фінансування її заходів.</w:t>
      </w:r>
    </w:p>
    <w:p w14:paraId="3D1A3434" w14:textId="6192DCC8" w:rsidR="006C0E11" w:rsidRPr="00445A63" w:rsidRDefault="006C0E11" w:rsidP="006461FF">
      <w:pPr>
        <w:spacing w:line="240" w:lineRule="auto"/>
        <w:ind w:right="143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508755B" w14:textId="408B07A4" w:rsidR="006461FF" w:rsidRPr="00445A63" w:rsidRDefault="006461FF" w:rsidP="006461FF">
      <w:pPr>
        <w:spacing w:line="240" w:lineRule="auto"/>
        <w:ind w:right="143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0B0F86B" w14:textId="77777777" w:rsidR="006461FF" w:rsidRDefault="006461FF" w:rsidP="006461FF">
      <w:pPr>
        <w:spacing w:line="240" w:lineRule="auto"/>
        <w:ind w:right="143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A3895A" w14:textId="77777777" w:rsidR="002A7184" w:rsidRPr="002A7184" w:rsidRDefault="002A7184" w:rsidP="006461FF">
      <w:pPr>
        <w:spacing w:line="240" w:lineRule="auto"/>
        <w:ind w:right="143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3064F5" w14:textId="696C6749" w:rsidR="006D5756" w:rsidRPr="008A3F1F" w:rsidRDefault="006D5756" w:rsidP="006D5756">
      <w:pPr>
        <w:spacing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3F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</w:t>
      </w:r>
      <w:r w:rsidR="008A3F1F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8A3F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епартаменту </w:t>
      </w:r>
    </w:p>
    <w:p w14:paraId="1571B396" w14:textId="77777777" w:rsidR="006D5756" w:rsidRPr="008A3F1F" w:rsidRDefault="006D5756" w:rsidP="006D5756">
      <w:pPr>
        <w:spacing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3F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соціального захисту населення </w:t>
      </w:r>
    </w:p>
    <w:p w14:paraId="00000015" w14:textId="4C95A6B6" w:rsidR="00C24EED" w:rsidRPr="000C0E27" w:rsidRDefault="006D5756" w:rsidP="006D5756">
      <w:pPr>
        <w:spacing w:line="240" w:lineRule="auto"/>
        <w:ind w:right="14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8A3F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Сумської міської ради                                                                Тетяна МАСІК  </w:t>
      </w:r>
    </w:p>
    <w:p w14:paraId="00000019" w14:textId="77777777" w:rsidR="00C24EED" w:rsidRPr="000C0E27" w:rsidRDefault="00C24EED" w:rsidP="00AA2E22">
      <w:pPr>
        <w:ind w:right="-607"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B" w14:textId="77777777" w:rsidR="00C24EED" w:rsidRPr="000C0E27" w:rsidRDefault="00C24EED" w:rsidP="00AA2E22">
      <w:pPr>
        <w:ind w:right="-607" w:firstLine="851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</w:p>
    <w:sectPr w:rsidR="00C24EED" w:rsidRPr="000C0E27" w:rsidSect="00BA2DE7">
      <w:headerReference w:type="default" r:id="rId8"/>
      <w:pgSz w:w="11909" w:h="16834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9370" w14:textId="77777777" w:rsidR="006D35A3" w:rsidRDefault="006D35A3" w:rsidP="006E5F27">
      <w:pPr>
        <w:spacing w:line="240" w:lineRule="auto"/>
      </w:pPr>
      <w:r>
        <w:separator/>
      </w:r>
    </w:p>
  </w:endnote>
  <w:endnote w:type="continuationSeparator" w:id="0">
    <w:p w14:paraId="232F4C7D" w14:textId="77777777" w:rsidR="006D35A3" w:rsidRDefault="006D35A3" w:rsidP="006E5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3D0AF" w14:textId="77777777" w:rsidR="006D35A3" w:rsidRDefault="006D35A3" w:rsidP="006E5F27">
      <w:pPr>
        <w:spacing w:line="240" w:lineRule="auto"/>
      </w:pPr>
      <w:r>
        <w:separator/>
      </w:r>
    </w:p>
  </w:footnote>
  <w:footnote w:type="continuationSeparator" w:id="0">
    <w:p w14:paraId="3F2A1E0C" w14:textId="77777777" w:rsidR="006D35A3" w:rsidRDefault="006D35A3" w:rsidP="006E5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C4A0" w14:textId="336728C1" w:rsidR="006E5F27" w:rsidRPr="006E5F27" w:rsidRDefault="006E5F27" w:rsidP="006E5F27">
    <w:pPr>
      <w:pStyle w:val="a8"/>
      <w:jc w:val="right"/>
      <w:rPr>
        <w:rFonts w:ascii="Times New Roman" w:hAnsi="Times New Roman" w:cs="Times New Roman"/>
        <w:sz w:val="24"/>
        <w:szCs w:val="24"/>
      </w:rPr>
    </w:pPr>
    <w:r w:rsidRPr="006E5F27">
      <w:rPr>
        <w:rFonts w:ascii="Times New Roman" w:hAnsi="Times New Roman" w:cs="Times New Roman"/>
        <w:sz w:val="24"/>
        <w:szCs w:val="24"/>
        <w:lang w:val="uk-UA"/>
      </w:rPr>
      <w:t>Продовження додатка 1</w:t>
    </w:r>
  </w:p>
  <w:p w14:paraId="4A26222E" w14:textId="77777777" w:rsidR="006E5F27" w:rsidRDefault="006E5F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EE7"/>
    <w:multiLevelType w:val="hybridMultilevel"/>
    <w:tmpl w:val="C1DCA77C"/>
    <w:lvl w:ilvl="0" w:tplc="DB52699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46C2"/>
    <w:multiLevelType w:val="hybridMultilevel"/>
    <w:tmpl w:val="97681CBE"/>
    <w:lvl w:ilvl="0" w:tplc="8458AD60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D424EF8"/>
    <w:multiLevelType w:val="hybridMultilevel"/>
    <w:tmpl w:val="4F12D4C0"/>
    <w:lvl w:ilvl="0" w:tplc="E98C4A8E">
      <w:start w:val="2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36A5"/>
    <w:multiLevelType w:val="hybridMultilevel"/>
    <w:tmpl w:val="0DDC293C"/>
    <w:lvl w:ilvl="0" w:tplc="7CFEA414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234417"/>
    <w:multiLevelType w:val="hybridMultilevel"/>
    <w:tmpl w:val="A8C4D19C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5C113F3F"/>
    <w:multiLevelType w:val="hybridMultilevel"/>
    <w:tmpl w:val="53C04B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845916">
    <w:abstractNumId w:val="0"/>
  </w:num>
  <w:num w:numId="2" w16cid:durableId="419983389">
    <w:abstractNumId w:val="5"/>
  </w:num>
  <w:num w:numId="3" w16cid:durableId="330136694">
    <w:abstractNumId w:val="2"/>
  </w:num>
  <w:num w:numId="4" w16cid:durableId="62872042">
    <w:abstractNumId w:val="1"/>
  </w:num>
  <w:num w:numId="5" w16cid:durableId="1904367422">
    <w:abstractNumId w:val="4"/>
  </w:num>
  <w:num w:numId="6" w16cid:durableId="629433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EED"/>
    <w:rsid w:val="000020CC"/>
    <w:rsid w:val="00005964"/>
    <w:rsid w:val="00020CE1"/>
    <w:rsid w:val="00024C4E"/>
    <w:rsid w:val="00034000"/>
    <w:rsid w:val="0003644D"/>
    <w:rsid w:val="00045523"/>
    <w:rsid w:val="0006517D"/>
    <w:rsid w:val="0006705D"/>
    <w:rsid w:val="00067B4D"/>
    <w:rsid w:val="000742E5"/>
    <w:rsid w:val="00076DBD"/>
    <w:rsid w:val="000847FF"/>
    <w:rsid w:val="0009424F"/>
    <w:rsid w:val="00094CB0"/>
    <w:rsid w:val="000A1A07"/>
    <w:rsid w:val="000B4D98"/>
    <w:rsid w:val="000C0E27"/>
    <w:rsid w:val="000D39A9"/>
    <w:rsid w:val="000E1F65"/>
    <w:rsid w:val="000F130A"/>
    <w:rsid w:val="000F684E"/>
    <w:rsid w:val="001001D6"/>
    <w:rsid w:val="00121509"/>
    <w:rsid w:val="0013033D"/>
    <w:rsid w:val="00145E78"/>
    <w:rsid w:val="00177C98"/>
    <w:rsid w:val="001A6371"/>
    <w:rsid w:val="001B17FA"/>
    <w:rsid w:val="001B459C"/>
    <w:rsid w:val="001C214A"/>
    <w:rsid w:val="001C6B5F"/>
    <w:rsid w:val="001D07F4"/>
    <w:rsid w:val="002029C1"/>
    <w:rsid w:val="0020354E"/>
    <w:rsid w:val="00247831"/>
    <w:rsid w:val="00270700"/>
    <w:rsid w:val="00285413"/>
    <w:rsid w:val="0028731B"/>
    <w:rsid w:val="002A1F2D"/>
    <w:rsid w:val="002A7184"/>
    <w:rsid w:val="002D5BF8"/>
    <w:rsid w:val="002F7BFF"/>
    <w:rsid w:val="003012D8"/>
    <w:rsid w:val="00321EA7"/>
    <w:rsid w:val="00341C4F"/>
    <w:rsid w:val="00342990"/>
    <w:rsid w:val="003723F8"/>
    <w:rsid w:val="00372E83"/>
    <w:rsid w:val="00373B23"/>
    <w:rsid w:val="003A23CD"/>
    <w:rsid w:val="003A6932"/>
    <w:rsid w:val="003D7C65"/>
    <w:rsid w:val="00412043"/>
    <w:rsid w:val="00412109"/>
    <w:rsid w:val="00432317"/>
    <w:rsid w:val="004347FC"/>
    <w:rsid w:val="00440B6A"/>
    <w:rsid w:val="0044229C"/>
    <w:rsid w:val="00445A63"/>
    <w:rsid w:val="0046781F"/>
    <w:rsid w:val="00477AF9"/>
    <w:rsid w:val="004958C0"/>
    <w:rsid w:val="004A2F53"/>
    <w:rsid w:val="004C2E1B"/>
    <w:rsid w:val="004C668B"/>
    <w:rsid w:val="004E47A6"/>
    <w:rsid w:val="00505D26"/>
    <w:rsid w:val="0051554F"/>
    <w:rsid w:val="00540C40"/>
    <w:rsid w:val="0056322C"/>
    <w:rsid w:val="00565A91"/>
    <w:rsid w:val="00570227"/>
    <w:rsid w:val="005709A7"/>
    <w:rsid w:val="005B78B4"/>
    <w:rsid w:val="005C2677"/>
    <w:rsid w:val="005C6DC0"/>
    <w:rsid w:val="005F6AAE"/>
    <w:rsid w:val="005F72E1"/>
    <w:rsid w:val="005F755A"/>
    <w:rsid w:val="006147C8"/>
    <w:rsid w:val="00615779"/>
    <w:rsid w:val="006427B0"/>
    <w:rsid w:val="006461FF"/>
    <w:rsid w:val="00647E97"/>
    <w:rsid w:val="00666453"/>
    <w:rsid w:val="00687F40"/>
    <w:rsid w:val="006C0E11"/>
    <w:rsid w:val="006C23AB"/>
    <w:rsid w:val="006C6596"/>
    <w:rsid w:val="006D1AB2"/>
    <w:rsid w:val="006D35A3"/>
    <w:rsid w:val="006D5756"/>
    <w:rsid w:val="006E5F27"/>
    <w:rsid w:val="006F1BCE"/>
    <w:rsid w:val="007003E4"/>
    <w:rsid w:val="007053C5"/>
    <w:rsid w:val="007063A7"/>
    <w:rsid w:val="00762D78"/>
    <w:rsid w:val="00767956"/>
    <w:rsid w:val="00776470"/>
    <w:rsid w:val="00776990"/>
    <w:rsid w:val="007958AE"/>
    <w:rsid w:val="007A7CCD"/>
    <w:rsid w:val="007C001A"/>
    <w:rsid w:val="007F0815"/>
    <w:rsid w:val="007F5561"/>
    <w:rsid w:val="007F66D7"/>
    <w:rsid w:val="008142C0"/>
    <w:rsid w:val="008369DF"/>
    <w:rsid w:val="008539F5"/>
    <w:rsid w:val="00860A86"/>
    <w:rsid w:val="00866645"/>
    <w:rsid w:val="00866655"/>
    <w:rsid w:val="00870FE8"/>
    <w:rsid w:val="00875032"/>
    <w:rsid w:val="008754BD"/>
    <w:rsid w:val="008819C7"/>
    <w:rsid w:val="00885009"/>
    <w:rsid w:val="008862D0"/>
    <w:rsid w:val="008878BF"/>
    <w:rsid w:val="008A3F1F"/>
    <w:rsid w:val="008B3764"/>
    <w:rsid w:val="008C4B7B"/>
    <w:rsid w:val="008E14DF"/>
    <w:rsid w:val="008F2CE5"/>
    <w:rsid w:val="00913D72"/>
    <w:rsid w:val="0091792A"/>
    <w:rsid w:val="0092074F"/>
    <w:rsid w:val="00943F24"/>
    <w:rsid w:val="00944654"/>
    <w:rsid w:val="009452D8"/>
    <w:rsid w:val="009848BE"/>
    <w:rsid w:val="009900C7"/>
    <w:rsid w:val="009907CB"/>
    <w:rsid w:val="00996849"/>
    <w:rsid w:val="009B0352"/>
    <w:rsid w:val="009D14C2"/>
    <w:rsid w:val="009D6E90"/>
    <w:rsid w:val="00A44305"/>
    <w:rsid w:val="00A85CD8"/>
    <w:rsid w:val="00A92152"/>
    <w:rsid w:val="00A96FC2"/>
    <w:rsid w:val="00AA2E22"/>
    <w:rsid w:val="00AA644E"/>
    <w:rsid w:val="00AB595C"/>
    <w:rsid w:val="00AD4209"/>
    <w:rsid w:val="00AD6BDB"/>
    <w:rsid w:val="00AE33E8"/>
    <w:rsid w:val="00AF31E2"/>
    <w:rsid w:val="00B03A9E"/>
    <w:rsid w:val="00B4630B"/>
    <w:rsid w:val="00B7455E"/>
    <w:rsid w:val="00B91D90"/>
    <w:rsid w:val="00B93A0D"/>
    <w:rsid w:val="00BA2DE7"/>
    <w:rsid w:val="00BB3908"/>
    <w:rsid w:val="00BB55F8"/>
    <w:rsid w:val="00BC197A"/>
    <w:rsid w:val="00BC7150"/>
    <w:rsid w:val="00BD35A5"/>
    <w:rsid w:val="00C23D72"/>
    <w:rsid w:val="00C24B66"/>
    <w:rsid w:val="00C24EED"/>
    <w:rsid w:val="00C62A9F"/>
    <w:rsid w:val="00CA41F4"/>
    <w:rsid w:val="00CB3B61"/>
    <w:rsid w:val="00CC01BB"/>
    <w:rsid w:val="00CC4153"/>
    <w:rsid w:val="00CE420D"/>
    <w:rsid w:val="00CF249D"/>
    <w:rsid w:val="00D07EA9"/>
    <w:rsid w:val="00D142AB"/>
    <w:rsid w:val="00D51F93"/>
    <w:rsid w:val="00D5414F"/>
    <w:rsid w:val="00D8693F"/>
    <w:rsid w:val="00DB1E7D"/>
    <w:rsid w:val="00DC7875"/>
    <w:rsid w:val="00DD3626"/>
    <w:rsid w:val="00DD6332"/>
    <w:rsid w:val="00DE0AC0"/>
    <w:rsid w:val="00DE7A67"/>
    <w:rsid w:val="00DF2D6F"/>
    <w:rsid w:val="00E225C2"/>
    <w:rsid w:val="00E31837"/>
    <w:rsid w:val="00E40F92"/>
    <w:rsid w:val="00E516B8"/>
    <w:rsid w:val="00E57930"/>
    <w:rsid w:val="00E63F42"/>
    <w:rsid w:val="00E64415"/>
    <w:rsid w:val="00E65FA1"/>
    <w:rsid w:val="00E76CD2"/>
    <w:rsid w:val="00E81CFC"/>
    <w:rsid w:val="00EC2086"/>
    <w:rsid w:val="00EC7DFE"/>
    <w:rsid w:val="00EE2F0A"/>
    <w:rsid w:val="00EF5417"/>
    <w:rsid w:val="00F13E31"/>
    <w:rsid w:val="00F214EC"/>
    <w:rsid w:val="00F21C05"/>
    <w:rsid w:val="00F32574"/>
    <w:rsid w:val="00F501EA"/>
    <w:rsid w:val="00F572A0"/>
    <w:rsid w:val="00F90154"/>
    <w:rsid w:val="00FB2477"/>
    <w:rsid w:val="00FC6EB4"/>
    <w:rsid w:val="00FC714C"/>
    <w:rsid w:val="00FD693A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8CD0"/>
  <w15:docId w15:val="{BD477E46-369D-4AE6-82CF-C4547061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DC7875"/>
    <w:pPr>
      <w:ind w:left="720"/>
      <w:contextualSpacing/>
    </w:pPr>
  </w:style>
  <w:style w:type="paragraph" w:customStyle="1" w:styleId="Style3">
    <w:name w:val="Style3"/>
    <w:basedOn w:val="a"/>
    <w:rsid w:val="00E63F42"/>
    <w:pPr>
      <w:widowControl w:val="0"/>
      <w:autoSpaceDE w:val="0"/>
      <w:autoSpaceDN w:val="0"/>
      <w:adjustRightInd w:val="0"/>
      <w:spacing w:line="232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7">
    <w:name w:val="Font Style17"/>
    <w:rsid w:val="00E63F42"/>
    <w:rPr>
      <w:rFonts w:ascii="Times New Roman" w:hAnsi="Times New Roman" w:cs="Times New Roman"/>
      <w:i/>
      <w:i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303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3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E5F27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5F27"/>
  </w:style>
  <w:style w:type="paragraph" w:styleId="aa">
    <w:name w:val="footer"/>
    <w:basedOn w:val="a"/>
    <w:link w:val="ab"/>
    <w:uiPriority w:val="99"/>
    <w:unhideWhenUsed/>
    <w:rsid w:val="006E5F27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5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2235B-FAE7-4544-B6F3-847DC72D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3</Pages>
  <Words>3205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 Костянтинівна Дунюшкіна</cp:lastModifiedBy>
  <cp:revision>67</cp:revision>
  <cp:lastPrinted>2026-02-13T09:47:00Z</cp:lastPrinted>
  <dcterms:created xsi:type="dcterms:W3CDTF">2024-02-20T11:32:00Z</dcterms:created>
  <dcterms:modified xsi:type="dcterms:W3CDTF">2026-04-14T13:02:00Z</dcterms:modified>
</cp:coreProperties>
</file>