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62" w:type="dxa"/>
        <w:tblLook w:val="04A0" w:firstRow="1" w:lastRow="0" w:firstColumn="1" w:lastColumn="0" w:noHBand="0" w:noVBand="1"/>
      </w:tblPr>
      <w:tblGrid>
        <w:gridCol w:w="3292"/>
      </w:tblGrid>
      <w:tr w:rsidR="005D0FDF" w:rsidRPr="00506E67" w:rsidTr="009F22CA">
        <w:tc>
          <w:tcPr>
            <w:tcW w:w="3292" w:type="dxa"/>
          </w:tcPr>
          <w:p w:rsidR="0009787F" w:rsidRPr="005D0FDF" w:rsidRDefault="0009787F" w:rsidP="00FD4F11">
            <w:pPr>
              <w:spacing w:after="0" w:line="240" w:lineRule="auto"/>
              <w:jc w:val="center"/>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Додаток</w:t>
            </w:r>
            <w:r w:rsidR="005A1336">
              <w:rPr>
                <w:rFonts w:ascii="Times New Roman" w:eastAsia="Times New Roman" w:hAnsi="Times New Roman" w:cs="Times New Roman"/>
                <w:sz w:val="28"/>
                <w:szCs w:val="28"/>
                <w:lang w:val="uk-UA" w:eastAsia="ru-RU"/>
              </w:rPr>
              <w:t xml:space="preserve"> 1</w:t>
            </w:r>
          </w:p>
          <w:p w:rsidR="0009787F" w:rsidRPr="005D0FDF" w:rsidRDefault="0009787F" w:rsidP="0009787F">
            <w:pPr>
              <w:spacing w:after="0" w:line="240" w:lineRule="auto"/>
              <w:jc w:val="both"/>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 xml:space="preserve">до рішення </w:t>
            </w:r>
            <w:r w:rsidR="00727D4B">
              <w:rPr>
                <w:rFonts w:ascii="Times New Roman" w:eastAsia="Times New Roman" w:hAnsi="Times New Roman" w:cs="Times New Roman"/>
                <w:sz w:val="28"/>
                <w:szCs w:val="28"/>
                <w:lang w:val="uk-UA" w:eastAsia="ru-RU"/>
              </w:rPr>
              <w:t>в</w:t>
            </w:r>
            <w:r w:rsidRPr="005D0FDF">
              <w:rPr>
                <w:rFonts w:ascii="Times New Roman" w:eastAsia="Times New Roman" w:hAnsi="Times New Roman" w:cs="Times New Roman"/>
                <w:sz w:val="28"/>
                <w:szCs w:val="28"/>
                <w:lang w:val="uk-UA" w:eastAsia="ru-RU"/>
              </w:rPr>
              <w:t>иконавчого комітету</w:t>
            </w:r>
          </w:p>
          <w:p w:rsidR="004E5996" w:rsidRPr="004E5996" w:rsidRDefault="0009787F" w:rsidP="00506E67">
            <w:pPr>
              <w:spacing w:after="0" w:line="240" w:lineRule="auto"/>
              <w:jc w:val="both"/>
              <w:rPr>
                <w:rFonts w:ascii="Times New Roman" w:eastAsia="Times New Roman" w:hAnsi="Times New Roman" w:cs="Times New Roman"/>
                <w:sz w:val="28"/>
                <w:szCs w:val="28"/>
                <w:lang w:val="uk-UA" w:eastAsia="ru-RU"/>
              </w:rPr>
            </w:pPr>
            <w:r w:rsidRPr="005D0FDF">
              <w:rPr>
                <w:rFonts w:ascii="Times New Roman" w:eastAsia="Times New Roman" w:hAnsi="Times New Roman" w:cs="Times New Roman"/>
                <w:sz w:val="28"/>
                <w:szCs w:val="28"/>
                <w:lang w:val="uk-UA" w:eastAsia="ru-RU"/>
              </w:rPr>
              <w:t xml:space="preserve">від </w:t>
            </w:r>
            <w:r w:rsidR="00506E67">
              <w:rPr>
                <w:rFonts w:ascii="Times New Roman" w:eastAsia="Times New Roman" w:hAnsi="Times New Roman" w:cs="Times New Roman"/>
                <w:sz w:val="28"/>
                <w:szCs w:val="28"/>
                <w:lang w:val="uk-UA" w:eastAsia="ru-RU"/>
              </w:rPr>
              <w:t>22.05.2026</w:t>
            </w:r>
            <w:r w:rsidRPr="005D0FDF">
              <w:rPr>
                <w:rFonts w:ascii="Times New Roman" w:eastAsia="Times New Roman" w:hAnsi="Times New Roman" w:cs="Times New Roman"/>
                <w:sz w:val="28"/>
                <w:szCs w:val="28"/>
                <w:lang w:val="uk-UA" w:eastAsia="ru-RU"/>
              </w:rPr>
              <w:t xml:space="preserve"> № </w:t>
            </w:r>
            <w:r w:rsidR="00506E67">
              <w:rPr>
                <w:rFonts w:ascii="Times New Roman" w:eastAsia="Times New Roman" w:hAnsi="Times New Roman" w:cs="Times New Roman"/>
                <w:sz w:val="28"/>
                <w:szCs w:val="28"/>
                <w:lang w:val="uk-UA" w:eastAsia="ru-RU"/>
              </w:rPr>
              <w:t>1450</w:t>
            </w:r>
          </w:p>
        </w:tc>
      </w:tr>
    </w:tbl>
    <w:p w:rsidR="00FD4F11" w:rsidRDefault="00FD4F11" w:rsidP="00FD4F11">
      <w:pPr>
        <w:spacing w:after="0" w:line="240" w:lineRule="auto"/>
        <w:ind w:left="6480" w:firstLine="41"/>
        <w:jc w:val="center"/>
        <w:rPr>
          <w:rFonts w:ascii="Times New Roman" w:eastAsia="Times New Roman" w:hAnsi="Times New Roman" w:cs="Times New Roman"/>
          <w:sz w:val="28"/>
          <w:szCs w:val="20"/>
          <w:lang w:val="uk-UA" w:eastAsia="ru-RU"/>
        </w:rPr>
      </w:pPr>
    </w:p>
    <w:p w:rsidR="00FD4F11" w:rsidRPr="00F21FDD" w:rsidRDefault="00FD4F11" w:rsidP="00FD4F11">
      <w:pPr>
        <w:spacing w:after="0" w:line="240" w:lineRule="auto"/>
        <w:ind w:left="6480" w:firstLine="41"/>
        <w:jc w:val="center"/>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«Затверджено»</w:t>
      </w:r>
    </w:p>
    <w:p w:rsidR="00FD4F11" w:rsidRPr="00F21FDD" w:rsidRDefault="00FD4F11" w:rsidP="00FD4F11">
      <w:pPr>
        <w:spacing w:after="0" w:line="240" w:lineRule="auto"/>
        <w:ind w:left="5040" w:firstLine="720"/>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 xml:space="preserve">рішенням виконавчого комітету </w:t>
      </w:r>
    </w:p>
    <w:p w:rsidR="00FD4F11" w:rsidRPr="00F21FDD" w:rsidRDefault="00FD4F11" w:rsidP="00FD4F11">
      <w:pPr>
        <w:spacing w:after="0" w:line="240" w:lineRule="auto"/>
        <w:rPr>
          <w:rFonts w:ascii="Times New Roman" w:eastAsia="Times New Roman" w:hAnsi="Times New Roman" w:cs="Times New Roman"/>
          <w:sz w:val="28"/>
          <w:szCs w:val="20"/>
          <w:lang w:val="uk-UA" w:eastAsia="ru-RU"/>
        </w:rPr>
      </w:pP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Pr="00F21FDD">
        <w:rPr>
          <w:rFonts w:ascii="Times New Roman" w:eastAsia="Times New Roman" w:hAnsi="Times New Roman" w:cs="Times New Roman"/>
          <w:sz w:val="28"/>
          <w:szCs w:val="20"/>
          <w:lang w:val="uk-UA" w:eastAsia="ru-RU"/>
        </w:rPr>
        <w:tab/>
      </w:r>
      <w:r w:rsidR="00080680" w:rsidRPr="005D0FDF">
        <w:rPr>
          <w:rFonts w:ascii="Times New Roman" w:eastAsia="Times New Roman" w:hAnsi="Times New Roman" w:cs="Times New Roman"/>
          <w:sz w:val="28"/>
          <w:szCs w:val="28"/>
          <w:lang w:val="uk-UA" w:eastAsia="ru-RU"/>
        </w:rPr>
        <w:t xml:space="preserve">від </w:t>
      </w:r>
      <w:r w:rsidR="00506E67">
        <w:rPr>
          <w:rFonts w:ascii="Times New Roman" w:eastAsia="Times New Roman" w:hAnsi="Times New Roman" w:cs="Times New Roman"/>
          <w:sz w:val="28"/>
          <w:szCs w:val="28"/>
          <w:lang w:val="uk-UA" w:eastAsia="ru-RU"/>
        </w:rPr>
        <w:t>22.05.2026</w:t>
      </w:r>
      <w:r w:rsidR="00080680" w:rsidRPr="005D0FDF">
        <w:rPr>
          <w:rFonts w:ascii="Times New Roman" w:eastAsia="Times New Roman" w:hAnsi="Times New Roman" w:cs="Times New Roman"/>
          <w:sz w:val="28"/>
          <w:szCs w:val="28"/>
          <w:lang w:val="uk-UA" w:eastAsia="ru-RU"/>
        </w:rPr>
        <w:t xml:space="preserve"> № </w:t>
      </w:r>
      <w:r w:rsidR="00506E67">
        <w:rPr>
          <w:rFonts w:ascii="Times New Roman" w:eastAsia="Times New Roman" w:hAnsi="Times New Roman" w:cs="Times New Roman"/>
          <w:sz w:val="28"/>
          <w:szCs w:val="28"/>
          <w:lang w:val="uk-UA" w:eastAsia="ru-RU"/>
        </w:rPr>
        <w:t>1450</w:t>
      </w:r>
      <w:r w:rsidR="00080680" w:rsidRPr="005D0FDF">
        <w:rPr>
          <w:rFonts w:ascii="Times New Roman" w:eastAsia="Times New Roman" w:hAnsi="Times New Roman" w:cs="Times New Roman"/>
          <w:sz w:val="28"/>
          <w:szCs w:val="28"/>
          <w:lang w:val="uk-UA" w:eastAsia="ru-RU"/>
        </w:rPr>
        <w:t xml:space="preserve"> </w:t>
      </w:r>
    </w:p>
    <w:p w:rsidR="004568B8" w:rsidRPr="005D0FDF" w:rsidRDefault="004568B8" w:rsidP="003C0289">
      <w:pPr>
        <w:pStyle w:val="rvps6"/>
        <w:shd w:val="clear" w:color="auto" w:fill="FFFFFF"/>
        <w:spacing w:before="300" w:beforeAutospacing="0" w:after="450" w:afterAutospacing="0"/>
        <w:ind w:right="450"/>
        <w:jc w:val="center"/>
        <w:rPr>
          <w:sz w:val="28"/>
          <w:szCs w:val="28"/>
          <w:lang w:val="uk-UA"/>
        </w:rPr>
      </w:pPr>
      <w:r w:rsidRPr="005D0FDF">
        <w:rPr>
          <w:rStyle w:val="rvts23"/>
          <w:b/>
          <w:bCs/>
          <w:sz w:val="28"/>
          <w:szCs w:val="28"/>
          <w:lang w:val="uk-UA"/>
        </w:rPr>
        <w:t>ПОРЯДОК</w:t>
      </w:r>
      <w:r w:rsidRPr="005D0FDF">
        <w:rPr>
          <w:sz w:val="28"/>
          <w:szCs w:val="28"/>
          <w:lang w:val="uk-UA"/>
        </w:rPr>
        <w:br/>
      </w:r>
      <w:r w:rsidRPr="005D0FDF">
        <w:rPr>
          <w:rStyle w:val="rvts23"/>
          <w:b/>
          <w:bCs/>
          <w:sz w:val="28"/>
          <w:szCs w:val="28"/>
          <w:lang w:val="uk-UA"/>
        </w:rPr>
        <w:t>підготовки публічних інвестиційних про</w:t>
      </w:r>
      <w:r w:rsidR="00B06D3B">
        <w:rPr>
          <w:rStyle w:val="rvts23"/>
          <w:b/>
          <w:bCs/>
          <w:sz w:val="28"/>
          <w:szCs w:val="28"/>
          <w:lang w:val="uk-UA"/>
        </w:rPr>
        <w:t>є</w:t>
      </w:r>
      <w:r w:rsidRPr="005D0FDF">
        <w:rPr>
          <w:rStyle w:val="rvts23"/>
          <w:b/>
          <w:bCs/>
          <w:sz w:val="28"/>
          <w:szCs w:val="28"/>
          <w:lang w:val="uk-UA"/>
        </w:rPr>
        <w:t>ктів та програм публічних інвестицій</w:t>
      </w:r>
      <w:r w:rsidR="005D0FDF">
        <w:rPr>
          <w:rStyle w:val="rvts23"/>
          <w:b/>
          <w:bCs/>
          <w:sz w:val="28"/>
          <w:szCs w:val="28"/>
          <w:lang w:val="uk-UA"/>
        </w:rPr>
        <w:t xml:space="preserve"> Сумської міської територіальної громади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0" w:name="n404"/>
      <w:bookmarkEnd w:id="0"/>
      <w:r w:rsidRPr="005A1336">
        <w:rPr>
          <w:sz w:val="28"/>
          <w:szCs w:val="28"/>
          <w:lang w:val="uk-UA"/>
        </w:rPr>
        <w:t>1. Цей Порядок регулює питання підготовки публічних інвестиційних про</w:t>
      </w:r>
      <w:r w:rsidR="00B06D3B" w:rsidRPr="005A1336">
        <w:rPr>
          <w:sz w:val="28"/>
          <w:szCs w:val="28"/>
          <w:lang w:val="uk-UA"/>
        </w:rPr>
        <w:t>є</w:t>
      </w:r>
      <w:r w:rsidRPr="005A1336">
        <w:rPr>
          <w:sz w:val="28"/>
          <w:szCs w:val="28"/>
          <w:lang w:val="uk-UA"/>
        </w:rPr>
        <w:t>ктів (далі - про</w:t>
      </w:r>
      <w:r w:rsidR="00B06D3B" w:rsidRPr="005A1336">
        <w:rPr>
          <w:sz w:val="28"/>
          <w:szCs w:val="28"/>
          <w:lang w:val="uk-UA"/>
        </w:rPr>
        <w:t>є</w:t>
      </w:r>
      <w:r w:rsidR="009E22CF">
        <w:rPr>
          <w:sz w:val="28"/>
          <w:szCs w:val="28"/>
          <w:lang w:val="uk-UA"/>
        </w:rPr>
        <w:t xml:space="preserve">кти) </w:t>
      </w:r>
      <w:r w:rsidR="009E22CF" w:rsidRPr="009E22CF">
        <w:rPr>
          <w:sz w:val="28"/>
          <w:szCs w:val="28"/>
          <w:lang w:val="uk-UA"/>
        </w:rPr>
        <w:t>та програм публічних інвестицій (далі - програми)</w:t>
      </w:r>
      <w:r w:rsidR="009E22CF">
        <w:rPr>
          <w:sz w:val="28"/>
          <w:szCs w:val="28"/>
          <w:lang w:val="uk-UA"/>
        </w:rPr>
        <w:t>,</w:t>
      </w:r>
      <w:r w:rsidRPr="005A1336">
        <w:rPr>
          <w:sz w:val="28"/>
          <w:szCs w:val="28"/>
          <w:lang w:val="uk-UA"/>
        </w:rPr>
        <w:t xml:space="preserve"> визначає основні етапи, процедури та відповідальних за підготовку публічних інвестиційних про</w:t>
      </w:r>
      <w:r w:rsidR="00B06D3B" w:rsidRPr="005A1336">
        <w:rPr>
          <w:sz w:val="28"/>
          <w:szCs w:val="28"/>
          <w:lang w:val="uk-UA"/>
        </w:rPr>
        <w:t>є</w:t>
      </w:r>
      <w:r w:rsidRPr="005A1336">
        <w:rPr>
          <w:sz w:val="28"/>
          <w:szCs w:val="28"/>
          <w:lang w:val="uk-UA"/>
        </w:rPr>
        <w:t>ктів і програм публічних інвестицій на території Сумської міської територіальної громади.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r w:rsidRPr="005A1336">
        <w:rPr>
          <w:sz w:val="28"/>
          <w:szCs w:val="28"/>
          <w:lang w:val="uk-UA"/>
        </w:rPr>
        <w:t>2. У цьому Порядку терміни вживаються в такому значенні:</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1" w:name="n337"/>
      <w:bookmarkEnd w:id="1"/>
      <w:r w:rsidRPr="005A1336">
        <w:rPr>
          <w:i/>
          <w:sz w:val="28"/>
          <w:szCs w:val="28"/>
          <w:lang w:val="uk-UA"/>
        </w:rPr>
        <w:t>інвестиційне техніко-економічне обґрунтування</w:t>
      </w:r>
      <w:r w:rsidRPr="005A1336">
        <w:rPr>
          <w:sz w:val="28"/>
          <w:szCs w:val="28"/>
          <w:lang w:val="uk-UA"/>
        </w:rPr>
        <w:t xml:space="preserve"> - стадія етапу підготовки про</w:t>
      </w:r>
      <w:r w:rsidR="00B06D3B" w:rsidRPr="005A1336">
        <w:rPr>
          <w:sz w:val="28"/>
          <w:szCs w:val="28"/>
          <w:lang w:val="uk-UA"/>
        </w:rPr>
        <w:t>є</w:t>
      </w:r>
      <w:r w:rsidRPr="005A1336">
        <w:rPr>
          <w:sz w:val="28"/>
          <w:szCs w:val="28"/>
          <w:lang w:val="uk-UA"/>
        </w:rPr>
        <w:t>кту, що передбачає деталізацію обґрунтувань, здійснених на стадії попереднього інвестиційного техніко-економічного обґрунтування залежно від прогнозованої загальної вартості про</w:t>
      </w:r>
      <w:r w:rsidR="00556000" w:rsidRPr="005A1336">
        <w:rPr>
          <w:sz w:val="28"/>
          <w:szCs w:val="28"/>
          <w:lang w:val="uk-UA"/>
        </w:rPr>
        <w:t>є</w:t>
      </w:r>
      <w:r w:rsidRPr="005A1336">
        <w:rPr>
          <w:sz w:val="28"/>
          <w:szCs w:val="28"/>
          <w:lang w:val="uk-UA"/>
        </w:rPr>
        <w:t>кту;</w:t>
      </w:r>
    </w:p>
    <w:p w:rsidR="004568B8" w:rsidRPr="005A1336" w:rsidRDefault="004568B8" w:rsidP="005D0FDF">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567"/>
        <w:jc w:val="both"/>
        <w:rPr>
          <w:rFonts w:ascii="Times New Roman" w:eastAsia="Times New Roman" w:hAnsi="Times New Roman" w:cs="Times New Roman"/>
          <w:sz w:val="28"/>
          <w:szCs w:val="28"/>
          <w:lang w:val="uk-UA" w:bidi="en-US"/>
        </w:rPr>
      </w:pPr>
      <w:bookmarkStart w:id="2" w:name="n338"/>
      <w:bookmarkEnd w:id="2"/>
      <w:r w:rsidRPr="005A1336">
        <w:rPr>
          <w:rFonts w:ascii="Times New Roman" w:hAnsi="Times New Roman" w:cs="Times New Roman"/>
          <w:i/>
          <w:sz w:val="28"/>
          <w:szCs w:val="28"/>
          <w:lang w:val="uk-UA"/>
        </w:rPr>
        <w:t>ініціатор програми</w:t>
      </w:r>
      <w:r w:rsidRPr="005A1336">
        <w:rPr>
          <w:sz w:val="28"/>
          <w:szCs w:val="28"/>
          <w:lang w:val="uk-UA"/>
        </w:rPr>
        <w:t xml:space="preserve"> </w:t>
      </w:r>
      <w:r w:rsidR="00385DFE" w:rsidRPr="005A1336">
        <w:rPr>
          <w:sz w:val="28"/>
          <w:szCs w:val="28"/>
          <w:lang w:val="uk-UA"/>
        </w:rPr>
        <w:t>–</w:t>
      </w:r>
      <w:r w:rsidRPr="005A1336">
        <w:rPr>
          <w:sz w:val="28"/>
          <w:szCs w:val="28"/>
          <w:lang w:val="uk-UA"/>
        </w:rPr>
        <w:t xml:space="preserve"> </w:t>
      </w:r>
      <w:r w:rsidR="00385DFE" w:rsidRPr="005A1336">
        <w:rPr>
          <w:rFonts w:ascii="Times New Roman" w:eastAsia="Times New Roman" w:hAnsi="Times New Roman" w:cs="Times New Roman"/>
          <w:sz w:val="28"/>
          <w:szCs w:val="28"/>
          <w:lang w:val="uk-UA" w:bidi="en-US"/>
        </w:rPr>
        <w:t xml:space="preserve">виконавчий орган Сумської міської ради, відповідальний за відповідну галузь (сектор) для публічного інвестування на території громади, у межах компетенції якого передбачено ініціювання, підготовку та реалізацію програм, що відповідають пріоритетам Стратегії розвитку Сумської </w:t>
      </w:r>
      <w:r w:rsidR="00647BE1" w:rsidRPr="005A1336">
        <w:rPr>
          <w:rFonts w:ascii="Times New Roman" w:eastAsia="Times New Roman" w:hAnsi="Times New Roman" w:cs="Times New Roman"/>
          <w:sz w:val="28"/>
          <w:szCs w:val="28"/>
          <w:lang w:val="uk-UA" w:bidi="en-US"/>
        </w:rPr>
        <w:t>міської територіальної громади</w:t>
      </w:r>
      <w:r w:rsidRPr="005A1336">
        <w:rPr>
          <w:rFonts w:ascii="Times New Roman" w:hAnsi="Times New Roman" w:cs="Times New Roman"/>
          <w:sz w:val="28"/>
          <w:szCs w:val="28"/>
          <w:lang w:val="uk-UA"/>
        </w:rPr>
        <w:t>;</w:t>
      </w:r>
    </w:p>
    <w:p w:rsidR="002E7C04" w:rsidRPr="005A1336" w:rsidRDefault="004568B8" w:rsidP="005D0FDF">
      <w:pPr>
        <w:pStyle w:val="rvps2"/>
        <w:shd w:val="clear" w:color="auto" w:fill="FFFFFF"/>
        <w:spacing w:after="150"/>
        <w:ind w:firstLine="567"/>
        <w:jc w:val="both"/>
        <w:rPr>
          <w:sz w:val="28"/>
          <w:szCs w:val="28"/>
          <w:lang w:val="uk-UA"/>
        </w:rPr>
      </w:pPr>
      <w:bookmarkStart w:id="3" w:name="n339"/>
      <w:bookmarkEnd w:id="3"/>
      <w:r w:rsidRPr="005A1336">
        <w:rPr>
          <w:i/>
          <w:sz w:val="28"/>
          <w:szCs w:val="28"/>
          <w:lang w:val="uk-UA"/>
        </w:rPr>
        <w:t>ініціатор про</w:t>
      </w:r>
      <w:r w:rsidR="00B06D3B" w:rsidRPr="005A1336">
        <w:rPr>
          <w:i/>
          <w:sz w:val="28"/>
          <w:szCs w:val="28"/>
          <w:lang w:val="uk-UA"/>
        </w:rPr>
        <w:t>є</w:t>
      </w:r>
      <w:r w:rsidRPr="005A1336">
        <w:rPr>
          <w:i/>
          <w:sz w:val="28"/>
          <w:szCs w:val="28"/>
          <w:lang w:val="uk-UA"/>
        </w:rPr>
        <w:t>кту</w:t>
      </w:r>
      <w:r w:rsidRPr="005A1336">
        <w:rPr>
          <w:sz w:val="28"/>
          <w:szCs w:val="28"/>
          <w:lang w:val="uk-UA"/>
        </w:rPr>
        <w:t xml:space="preserve"> </w:t>
      </w:r>
      <w:r w:rsidR="00FF2A9B" w:rsidRPr="005A1336">
        <w:rPr>
          <w:sz w:val="28"/>
          <w:szCs w:val="28"/>
          <w:lang w:val="uk-UA"/>
        </w:rPr>
        <w:t>–</w:t>
      </w:r>
      <w:r w:rsidRPr="005A1336">
        <w:rPr>
          <w:sz w:val="28"/>
          <w:szCs w:val="28"/>
          <w:lang w:val="uk-UA"/>
        </w:rPr>
        <w:t xml:space="preserve"> </w:t>
      </w:r>
      <w:r w:rsidR="00FF2A9B" w:rsidRPr="005A1336">
        <w:rPr>
          <w:sz w:val="28"/>
          <w:szCs w:val="28"/>
          <w:lang w:val="uk-UA"/>
        </w:rPr>
        <w:t xml:space="preserve">виконавчі органи Сумської міської ради, </w:t>
      </w:r>
      <w:r w:rsidR="00C1638A" w:rsidRPr="005A1336">
        <w:rPr>
          <w:sz w:val="28"/>
          <w:szCs w:val="28"/>
          <w:lang w:val="uk-UA"/>
        </w:rPr>
        <w:t xml:space="preserve">в тому числі </w:t>
      </w:r>
      <w:r w:rsidR="00FF2A9B" w:rsidRPr="005A1336">
        <w:rPr>
          <w:sz w:val="28"/>
          <w:szCs w:val="28"/>
          <w:lang w:val="uk-UA"/>
        </w:rPr>
        <w:t xml:space="preserve">відповідальні </w:t>
      </w:r>
      <w:r w:rsidR="00FF2A9B" w:rsidRPr="005A1336">
        <w:rPr>
          <w:sz w:val="28"/>
          <w:szCs w:val="28"/>
          <w:lang w:val="uk-UA" w:eastAsia="uk-UA"/>
        </w:rPr>
        <w:t>за галузі (сектори) для здійснення публічного інвестування Сумської міської територіальної громади</w:t>
      </w:r>
      <w:r w:rsidR="002E7C04" w:rsidRPr="005A1336">
        <w:rPr>
          <w:sz w:val="28"/>
          <w:szCs w:val="28"/>
          <w:lang w:val="uk-UA"/>
        </w:rPr>
        <w:t xml:space="preserve">, </w:t>
      </w:r>
      <w:r w:rsidR="00BE66DF" w:rsidRPr="005A1336">
        <w:rPr>
          <w:sz w:val="28"/>
          <w:szCs w:val="28"/>
          <w:lang w:val="uk-UA"/>
        </w:rPr>
        <w:t xml:space="preserve">головні розпорядники </w:t>
      </w:r>
      <w:r w:rsidR="00C11664">
        <w:rPr>
          <w:sz w:val="28"/>
          <w:szCs w:val="28"/>
          <w:lang w:val="uk-UA"/>
        </w:rPr>
        <w:t xml:space="preserve">бюджетних </w:t>
      </w:r>
      <w:r w:rsidR="00BE66DF" w:rsidRPr="005A1336">
        <w:rPr>
          <w:sz w:val="28"/>
          <w:szCs w:val="28"/>
          <w:lang w:val="uk-UA"/>
        </w:rPr>
        <w:t xml:space="preserve">коштів, </w:t>
      </w:r>
      <w:r w:rsidR="002E7C04" w:rsidRPr="005A1336">
        <w:rPr>
          <w:sz w:val="28"/>
          <w:szCs w:val="28"/>
          <w:lang w:val="uk-UA"/>
        </w:rPr>
        <w:t>установи, організації, заклади та підприємства, засновником яких є Сумська міська рада, які діють на території громади та ініціюють підготовку інвестиційного про</w:t>
      </w:r>
      <w:r w:rsidR="00556000" w:rsidRPr="005A1336">
        <w:rPr>
          <w:sz w:val="28"/>
          <w:szCs w:val="28"/>
          <w:lang w:val="uk-UA"/>
        </w:rPr>
        <w:t>є</w:t>
      </w:r>
      <w:r w:rsidR="002E7C04" w:rsidRPr="005A1336">
        <w:rPr>
          <w:sz w:val="28"/>
          <w:szCs w:val="28"/>
          <w:lang w:val="uk-UA"/>
        </w:rPr>
        <w:t xml:space="preserve">кту; </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4" w:name="n340"/>
      <w:bookmarkEnd w:id="4"/>
      <w:r w:rsidRPr="005A1336">
        <w:rPr>
          <w:i/>
          <w:sz w:val="28"/>
          <w:szCs w:val="28"/>
          <w:lang w:val="uk-UA"/>
        </w:rPr>
        <w:t>масштабний про</w:t>
      </w:r>
      <w:r w:rsidR="00B06D3B" w:rsidRPr="005A1336">
        <w:rPr>
          <w:i/>
          <w:sz w:val="28"/>
          <w:szCs w:val="28"/>
          <w:lang w:val="uk-UA"/>
        </w:rPr>
        <w:t>є</w:t>
      </w:r>
      <w:r w:rsidRPr="005A1336">
        <w:rPr>
          <w:i/>
          <w:sz w:val="28"/>
          <w:szCs w:val="28"/>
          <w:lang w:val="uk-UA"/>
        </w:rPr>
        <w:t>кт</w:t>
      </w:r>
      <w:r w:rsidRPr="005A1336">
        <w:rPr>
          <w:sz w:val="28"/>
          <w:szCs w:val="28"/>
          <w:lang w:val="uk-UA"/>
        </w:rPr>
        <w:t xml:space="preserve"> - про</w:t>
      </w:r>
      <w:r w:rsidR="00B06D3B" w:rsidRPr="005A1336">
        <w:rPr>
          <w:sz w:val="28"/>
          <w:szCs w:val="28"/>
          <w:lang w:val="uk-UA"/>
        </w:rPr>
        <w:t>є</w:t>
      </w:r>
      <w:r w:rsidRPr="005A1336">
        <w:rPr>
          <w:sz w:val="28"/>
          <w:szCs w:val="28"/>
          <w:lang w:val="uk-UA"/>
        </w:rPr>
        <w:t>кт з орієнтовною вартістю понад 400 млн. гривень;</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5" w:name="n341"/>
      <w:bookmarkEnd w:id="5"/>
      <w:r w:rsidRPr="005A1336">
        <w:rPr>
          <w:i/>
          <w:sz w:val="28"/>
          <w:szCs w:val="28"/>
          <w:lang w:val="uk-UA"/>
        </w:rPr>
        <w:t>підготовка програми</w:t>
      </w:r>
      <w:r w:rsidRPr="005A1336">
        <w:rPr>
          <w:sz w:val="28"/>
          <w:szCs w:val="28"/>
          <w:lang w:val="uk-UA"/>
        </w:rPr>
        <w:t xml:space="preserve"> - передінвестиційний етап життєвого циклу програми, який включає здійснення стратегічного, економічного, фінансового, </w:t>
      </w:r>
      <w:r w:rsidRPr="005A1336">
        <w:rPr>
          <w:sz w:val="28"/>
          <w:szCs w:val="28"/>
          <w:lang w:val="uk-UA"/>
        </w:rPr>
        <w:lastRenderedPageBreak/>
        <w:t>управлінського обґрунтування, оцінку програми, прийняття рішення щодо її доцільності та включення до</w:t>
      </w:r>
      <w:r w:rsidR="00556000" w:rsidRPr="005A1336">
        <w:rPr>
          <w:sz w:val="28"/>
          <w:szCs w:val="28"/>
          <w:lang w:val="uk-UA"/>
        </w:rPr>
        <w:t xml:space="preserve"> галузевого (секторального) проє</w:t>
      </w:r>
      <w:r w:rsidRPr="005A1336">
        <w:rPr>
          <w:sz w:val="28"/>
          <w:szCs w:val="28"/>
          <w:lang w:val="uk-UA"/>
        </w:rPr>
        <w:t xml:space="preserve">ктного портфеля територіальної громади, прийняття </w:t>
      </w:r>
      <w:r w:rsidR="00C11664">
        <w:rPr>
          <w:sz w:val="28"/>
          <w:szCs w:val="28"/>
          <w:lang w:val="uk-UA"/>
        </w:rPr>
        <w:t>І</w:t>
      </w:r>
      <w:r w:rsidR="002E7C04" w:rsidRPr="005A1336">
        <w:rPr>
          <w:sz w:val="28"/>
          <w:szCs w:val="28"/>
          <w:lang w:val="uk-UA"/>
        </w:rPr>
        <w:t>нвестиційною радою</w:t>
      </w:r>
      <w:r w:rsidR="00C11664">
        <w:rPr>
          <w:sz w:val="28"/>
          <w:szCs w:val="28"/>
          <w:lang w:val="uk-UA"/>
        </w:rPr>
        <w:t xml:space="preserve"> Сумської міської територіальної громади</w:t>
      </w:r>
      <w:r w:rsidRPr="005A1336">
        <w:rPr>
          <w:sz w:val="28"/>
          <w:szCs w:val="28"/>
          <w:lang w:val="uk-UA"/>
        </w:rPr>
        <w:t xml:space="preserve"> рішення щодо її включення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C11664">
        <w:rPr>
          <w:sz w:val="28"/>
          <w:szCs w:val="28"/>
          <w:lang w:val="uk-UA"/>
        </w:rPr>
        <w:t>Сумської міської</w:t>
      </w:r>
      <w:r w:rsidR="00C11664" w:rsidRPr="005A1336">
        <w:rPr>
          <w:sz w:val="28"/>
          <w:szCs w:val="28"/>
          <w:lang w:val="uk-UA"/>
        </w:rPr>
        <w:t xml:space="preserve"> </w:t>
      </w:r>
      <w:r w:rsidRPr="005A1336">
        <w:rPr>
          <w:sz w:val="28"/>
          <w:szCs w:val="28"/>
          <w:lang w:val="uk-UA"/>
        </w:rPr>
        <w:t>територіальної громади та завершується підтвердженням готовності програми до реалізації;</w:t>
      </w:r>
      <w:r w:rsidR="00C11664">
        <w:rPr>
          <w:sz w:val="28"/>
          <w:szCs w:val="28"/>
          <w:lang w:val="uk-UA"/>
        </w:rPr>
        <w:t xml:space="preserve"> </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6" w:name="n342"/>
      <w:bookmarkEnd w:id="6"/>
      <w:r w:rsidRPr="005A1336">
        <w:rPr>
          <w:i/>
          <w:sz w:val="28"/>
          <w:szCs w:val="28"/>
          <w:lang w:val="uk-UA"/>
        </w:rPr>
        <w:t>підготовка про</w:t>
      </w:r>
      <w:r w:rsidR="00B06D3B" w:rsidRPr="005A1336">
        <w:rPr>
          <w:i/>
          <w:sz w:val="28"/>
          <w:szCs w:val="28"/>
          <w:lang w:val="uk-UA"/>
        </w:rPr>
        <w:t>є</w:t>
      </w:r>
      <w:r w:rsidRPr="005A1336">
        <w:rPr>
          <w:i/>
          <w:sz w:val="28"/>
          <w:szCs w:val="28"/>
          <w:lang w:val="uk-UA"/>
        </w:rPr>
        <w:t xml:space="preserve">кту </w:t>
      </w:r>
      <w:r w:rsidRPr="005A1336">
        <w:rPr>
          <w:sz w:val="28"/>
          <w:szCs w:val="28"/>
          <w:lang w:val="uk-UA"/>
        </w:rPr>
        <w:t>- передінвестиційний етап життєвого циклу про</w:t>
      </w:r>
      <w:r w:rsidR="00B06D3B" w:rsidRPr="005A1336">
        <w:rPr>
          <w:sz w:val="28"/>
          <w:szCs w:val="28"/>
          <w:lang w:val="uk-UA"/>
        </w:rPr>
        <w:t>є</w:t>
      </w:r>
      <w:r w:rsidRPr="005A1336">
        <w:rPr>
          <w:sz w:val="28"/>
          <w:szCs w:val="28"/>
          <w:lang w:val="uk-UA"/>
        </w:rPr>
        <w:t>кту, який включає здійснення передінвестиційних досліджень, оцінку про</w:t>
      </w:r>
      <w:r w:rsidR="00B06D3B" w:rsidRPr="005A1336">
        <w:rPr>
          <w:sz w:val="28"/>
          <w:szCs w:val="28"/>
          <w:lang w:val="uk-UA"/>
        </w:rPr>
        <w:t>є</w:t>
      </w:r>
      <w:r w:rsidRPr="005A1336">
        <w:rPr>
          <w:sz w:val="28"/>
          <w:szCs w:val="28"/>
          <w:lang w:val="uk-UA"/>
        </w:rPr>
        <w:t>кту, прийняття рішення про його доцільність шляхом включення до галузевого (секторального) про</w:t>
      </w:r>
      <w:r w:rsidR="00556000" w:rsidRPr="005A1336">
        <w:rPr>
          <w:sz w:val="28"/>
          <w:szCs w:val="28"/>
          <w:lang w:val="uk-UA"/>
        </w:rPr>
        <w:t>є</w:t>
      </w:r>
      <w:r w:rsidRPr="005A1336">
        <w:rPr>
          <w:sz w:val="28"/>
          <w:szCs w:val="28"/>
          <w:lang w:val="uk-UA"/>
        </w:rPr>
        <w:t xml:space="preserve">ктного портфеля </w:t>
      </w:r>
      <w:r w:rsidR="009E22CF">
        <w:rPr>
          <w:sz w:val="28"/>
          <w:szCs w:val="28"/>
          <w:lang w:val="uk-UA"/>
        </w:rPr>
        <w:t xml:space="preserve">Сумської міської </w:t>
      </w:r>
      <w:r w:rsidRPr="005A1336">
        <w:rPr>
          <w:sz w:val="28"/>
          <w:szCs w:val="28"/>
          <w:lang w:val="uk-UA"/>
        </w:rPr>
        <w:t xml:space="preserve">територіальної громади, прийняття </w:t>
      </w:r>
      <w:r w:rsidR="00C11664" w:rsidRPr="00C11664">
        <w:rPr>
          <w:sz w:val="28"/>
          <w:szCs w:val="28"/>
          <w:lang w:val="uk-UA"/>
        </w:rPr>
        <w:t xml:space="preserve">Інвестиційною радою Сумської міської територіальної громади </w:t>
      </w:r>
      <w:r w:rsidRPr="005A1336">
        <w:rPr>
          <w:sz w:val="28"/>
          <w:szCs w:val="28"/>
          <w:lang w:val="uk-UA"/>
        </w:rPr>
        <w:t>рішення щодо включення про</w:t>
      </w:r>
      <w:r w:rsidR="00556000" w:rsidRPr="005A1336">
        <w:rPr>
          <w:sz w:val="28"/>
          <w:szCs w:val="28"/>
          <w:lang w:val="uk-UA"/>
        </w:rPr>
        <w:t>є</w:t>
      </w:r>
      <w:r w:rsidRPr="005A1336">
        <w:rPr>
          <w:sz w:val="28"/>
          <w:szCs w:val="28"/>
          <w:lang w:val="uk-UA"/>
        </w:rPr>
        <w:t xml:space="preserve">кту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C11664">
        <w:rPr>
          <w:sz w:val="28"/>
          <w:szCs w:val="28"/>
          <w:lang w:val="uk-UA"/>
        </w:rPr>
        <w:t xml:space="preserve">Сумської міської </w:t>
      </w:r>
      <w:r w:rsidRPr="005A1336">
        <w:rPr>
          <w:sz w:val="28"/>
          <w:szCs w:val="28"/>
          <w:lang w:val="uk-UA"/>
        </w:rPr>
        <w:t>територіальної громади та завершується підтвердженням готовності про</w:t>
      </w:r>
      <w:r w:rsidR="00556000" w:rsidRPr="005A1336">
        <w:rPr>
          <w:sz w:val="28"/>
          <w:szCs w:val="28"/>
          <w:lang w:val="uk-UA"/>
        </w:rPr>
        <w:t>є</w:t>
      </w:r>
      <w:r w:rsidRPr="005A1336">
        <w:rPr>
          <w:sz w:val="28"/>
          <w:szCs w:val="28"/>
          <w:lang w:val="uk-UA"/>
        </w:rPr>
        <w:t>кту до реалізації;</w:t>
      </w:r>
      <w:r w:rsidR="00C11664">
        <w:rPr>
          <w:sz w:val="28"/>
          <w:szCs w:val="28"/>
          <w:lang w:val="uk-UA"/>
        </w:rPr>
        <w:t xml:space="preserve"> </w:t>
      </w:r>
    </w:p>
    <w:p w:rsidR="00F77623" w:rsidRPr="005A1336" w:rsidRDefault="00F77623" w:rsidP="005D0FDF">
      <w:pPr>
        <w:pBdr>
          <w:top w:val="none" w:sz="4" w:space="0" w:color="000000"/>
          <w:left w:val="none" w:sz="4" w:space="0" w:color="000000"/>
          <w:bottom w:val="none" w:sz="4" w:space="0" w:color="000000"/>
          <w:right w:val="none" w:sz="4" w:space="0" w:color="000000"/>
          <w:between w:val="none" w:sz="4" w:space="0" w:color="000000"/>
        </w:pBdr>
        <w:spacing w:after="120" w:line="240" w:lineRule="auto"/>
        <w:ind w:firstLine="567"/>
        <w:jc w:val="both"/>
        <w:rPr>
          <w:rFonts w:ascii="Times New Roman" w:eastAsia="Times New Roman" w:hAnsi="Times New Roman" w:cs="Times New Roman"/>
          <w:sz w:val="28"/>
          <w:szCs w:val="28"/>
          <w:lang w:val="uk-UA" w:bidi="en-US"/>
        </w:rPr>
      </w:pPr>
      <w:r w:rsidRPr="005A1336">
        <w:rPr>
          <w:rFonts w:ascii="Times New Roman" w:eastAsia="Times New Roman" w:hAnsi="Times New Roman" w:cs="Times New Roman"/>
          <w:i/>
          <w:sz w:val="28"/>
          <w:szCs w:val="28"/>
          <w:lang w:val="uk-UA" w:bidi="en-US"/>
        </w:rPr>
        <w:t>показники про</w:t>
      </w:r>
      <w:r w:rsidR="00B06D3B" w:rsidRPr="005A1336">
        <w:rPr>
          <w:rFonts w:ascii="Times New Roman" w:eastAsia="Times New Roman" w:hAnsi="Times New Roman" w:cs="Times New Roman"/>
          <w:i/>
          <w:sz w:val="28"/>
          <w:szCs w:val="28"/>
          <w:lang w:val="uk-UA" w:bidi="en-US"/>
        </w:rPr>
        <w:t>є</w:t>
      </w:r>
      <w:r w:rsidRPr="005A1336">
        <w:rPr>
          <w:rFonts w:ascii="Times New Roman" w:eastAsia="Times New Roman" w:hAnsi="Times New Roman" w:cs="Times New Roman"/>
          <w:i/>
          <w:sz w:val="28"/>
          <w:szCs w:val="28"/>
          <w:lang w:val="uk-UA" w:bidi="en-US"/>
        </w:rPr>
        <w:t>кту чи програми</w:t>
      </w:r>
      <w:r w:rsidRPr="005A1336">
        <w:rPr>
          <w:rFonts w:ascii="Times New Roman" w:eastAsia="Times New Roman" w:hAnsi="Times New Roman" w:cs="Times New Roman"/>
          <w:b/>
          <w:sz w:val="28"/>
          <w:szCs w:val="28"/>
          <w:lang w:val="uk-UA" w:bidi="en-US"/>
        </w:rPr>
        <w:t xml:space="preserve"> </w:t>
      </w:r>
      <w:r w:rsidRPr="005A1336">
        <w:rPr>
          <w:rFonts w:ascii="Times New Roman" w:eastAsia="Times New Roman" w:hAnsi="Times New Roman" w:cs="Times New Roman"/>
          <w:sz w:val="28"/>
          <w:szCs w:val="28"/>
          <w:lang w:val="uk-UA" w:bidi="en-US"/>
        </w:rPr>
        <w:t>— вимірювані характеристики, які дають можливість відстежувати прогрес реалізації про</w:t>
      </w:r>
      <w:r w:rsidR="00B06D3B" w:rsidRPr="005A1336">
        <w:rPr>
          <w:rFonts w:ascii="Times New Roman" w:eastAsia="Times New Roman" w:hAnsi="Times New Roman" w:cs="Times New Roman"/>
          <w:sz w:val="28"/>
          <w:szCs w:val="28"/>
          <w:lang w:val="uk-UA" w:bidi="en-US"/>
        </w:rPr>
        <w:t>є</w:t>
      </w:r>
      <w:r w:rsidRPr="005A1336">
        <w:rPr>
          <w:rFonts w:ascii="Times New Roman" w:eastAsia="Times New Roman" w:hAnsi="Times New Roman" w:cs="Times New Roman"/>
          <w:sz w:val="28"/>
          <w:szCs w:val="28"/>
          <w:lang w:val="uk-UA" w:bidi="en-US"/>
        </w:rPr>
        <w:t>кту чи програми, оцінити ефективність та результативність їх реалізації, досягнення мети та забезпечити прозорість і підзвітність у здійсненні публічних інвестицій;</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7" w:name="n343"/>
      <w:bookmarkEnd w:id="7"/>
      <w:r w:rsidRPr="005A1336">
        <w:rPr>
          <w:i/>
          <w:sz w:val="28"/>
          <w:szCs w:val="28"/>
          <w:lang w:val="uk-UA"/>
        </w:rPr>
        <w:t>попереднє інвестиційне техніко-економічне обґрунтування</w:t>
      </w:r>
      <w:r w:rsidRPr="005A1336">
        <w:rPr>
          <w:sz w:val="28"/>
          <w:szCs w:val="28"/>
          <w:lang w:val="uk-UA"/>
        </w:rPr>
        <w:t xml:space="preserve"> - стадія етапу підготовки про</w:t>
      </w:r>
      <w:r w:rsidR="00B06D3B" w:rsidRPr="005A1336">
        <w:rPr>
          <w:sz w:val="28"/>
          <w:szCs w:val="28"/>
          <w:lang w:val="uk-UA"/>
        </w:rPr>
        <w:t>є</w:t>
      </w:r>
      <w:r w:rsidRPr="005A1336">
        <w:rPr>
          <w:sz w:val="28"/>
          <w:szCs w:val="28"/>
          <w:lang w:val="uk-UA"/>
        </w:rPr>
        <w:t xml:space="preserve">кту, що передбачає здійснення стратегічного, економічного, комерційного, фінансового та управлінського обґрунтування та </w:t>
      </w:r>
      <w:r w:rsidRPr="00C11664">
        <w:rPr>
          <w:i/>
          <w:sz w:val="28"/>
          <w:szCs w:val="28"/>
          <w:lang w:val="uk-UA"/>
        </w:rPr>
        <w:t>є обов’язковою для всіх про</w:t>
      </w:r>
      <w:r w:rsidR="00B06D3B" w:rsidRPr="00C11664">
        <w:rPr>
          <w:i/>
          <w:sz w:val="28"/>
          <w:szCs w:val="28"/>
          <w:lang w:val="uk-UA"/>
        </w:rPr>
        <w:t>є</w:t>
      </w:r>
      <w:r w:rsidRPr="00C11664">
        <w:rPr>
          <w:i/>
          <w:sz w:val="28"/>
          <w:szCs w:val="28"/>
          <w:lang w:val="uk-UA"/>
        </w:rPr>
        <w:t>ктів</w:t>
      </w:r>
      <w:r w:rsidRPr="005A1336">
        <w:rPr>
          <w:sz w:val="28"/>
          <w:szCs w:val="28"/>
          <w:lang w:val="uk-UA"/>
        </w:rPr>
        <w:t>;</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8" w:name="n344"/>
      <w:bookmarkEnd w:id="8"/>
      <w:r w:rsidRPr="005A1336">
        <w:rPr>
          <w:i/>
          <w:sz w:val="28"/>
          <w:szCs w:val="28"/>
          <w:lang w:val="uk-UA"/>
        </w:rPr>
        <w:t>програма (програми) для підготовки про</w:t>
      </w:r>
      <w:r w:rsidR="00556000" w:rsidRPr="005A1336">
        <w:rPr>
          <w:i/>
          <w:sz w:val="28"/>
          <w:szCs w:val="28"/>
          <w:lang w:val="uk-UA"/>
        </w:rPr>
        <w:t>є</w:t>
      </w:r>
      <w:r w:rsidRPr="005A1336">
        <w:rPr>
          <w:i/>
          <w:sz w:val="28"/>
          <w:szCs w:val="28"/>
          <w:lang w:val="uk-UA"/>
        </w:rPr>
        <w:t>ктів</w:t>
      </w:r>
      <w:r w:rsidRPr="005A1336">
        <w:rPr>
          <w:sz w:val="28"/>
          <w:szCs w:val="28"/>
          <w:lang w:val="uk-UA"/>
        </w:rPr>
        <w:t xml:space="preserve"> - організований та некомерційний комплекс заходів або видів діяльності, спрямований на підтримку підготовки та реалізації про</w:t>
      </w:r>
      <w:r w:rsidR="00B06D3B" w:rsidRPr="005A1336">
        <w:rPr>
          <w:sz w:val="28"/>
          <w:szCs w:val="28"/>
          <w:lang w:val="uk-UA"/>
        </w:rPr>
        <w:t>є</w:t>
      </w:r>
      <w:r w:rsidRPr="005A1336">
        <w:rPr>
          <w:sz w:val="28"/>
          <w:szCs w:val="28"/>
          <w:lang w:val="uk-UA"/>
        </w:rPr>
        <w:t>ктів, який може бути ініційований, профінансований та/або впроваджений міжнародними фінансовими організаціями, партнерами з розвитку, утвореними ними юридичними особами із залученням (або без залучення) до підготовки та реалізації таких про</w:t>
      </w:r>
      <w:r w:rsidR="00B06D3B" w:rsidRPr="005A1336">
        <w:rPr>
          <w:sz w:val="28"/>
          <w:szCs w:val="28"/>
          <w:lang w:val="uk-UA"/>
        </w:rPr>
        <w:t>є</w:t>
      </w:r>
      <w:r w:rsidRPr="005A1336">
        <w:rPr>
          <w:sz w:val="28"/>
          <w:szCs w:val="28"/>
          <w:lang w:val="uk-UA"/>
        </w:rPr>
        <w:t>ктів інших суб’єктів відповідно до законодавства, зокрема в межах грантових, кредитних угод, інших міжнародних договорів України.</w:t>
      </w:r>
    </w:p>
    <w:p w:rsidR="009F2D04" w:rsidRPr="005A1336" w:rsidRDefault="009F2D04" w:rsidP="009F2D04">
      <w:pPr>
        <w:pStyle w:val="rvps2"/>
        <w:shd w:val="clear" w:color="auto" w:fill="FFFFFF"/>
        <w:spacing w:before="0" w:beforeAutospacing="0" w:after="150" w:afterAutospacing="0"/>
        <w:ind w:firstLine="567"/>
        <w:jc w:val="both"/>
        <w:rPr>
          <w:sz w:val="28"/>
          <w:szCs w:val="28"/>
          <w:lang w:val="uk-UA"/>
        </w:rPr>
      </w:pPr>
      <w:bookmarkStart w:id="9" w:name="n345"/>
      <w:bookmarkEnd w:id="9"/>
      <w:r w:rsidRPr="005A1336">
        <w:rPr>
          <w:sz w:val="28"/>
          <w:szCs w:val="28"/>
          <w:lang w:val="uk-UA"/>
        </w:rPr>
        <w:t xml:space="preserve">Інші терміни вживаються у значеннях, наведених в Бюджетному кодексі України, законах України, указах Президента України, нормативно-правових актах Верховної Ради України, Кабінету Міністрів України, центральних органів влади, інших </w:t>
      </w:r>
      <w:r w:rsidR="009E22CF">
        <w:rPr>
          <w:sz w:val="28"/>
          <w:szCs w:val="28"/>
          <w:lang w:val="uk-UA"/>
        </w:rPr>
        <w:t>нормативно-правових актах</w:t>
      </w:r>
      <w:r w:rsidRPr="005A1336">
        <w:rPr>
          <w:sz w:val="28"/>
          <w:szCs w:val="28"/>
          <w:lang w:val="uk-UA"/>
        </w:rPr>
        <w:t>.</w:t>
      </w:r>
    </w:p>
    <w:p w:rsidR="003C0289" w:rsidRDefault="004568B8" w:rsidP="005D0FDF">
      <w:pPr>
        <w:pStyle w:val="rvps2"/>
        <w:shd w:val="clear" w:color="auto" w:fill="FFFFFF"/>
        <w:spacing w:before="0" w:beforeAutospacing="0" w:after="150" w:afterAutospacing="0"/>
        <w:ind w:firstLine="567"/>
        <w:jc w:val="both"/>
        <w:rPr>
          <w:sz w:val="28"/>
          <w:szCs w:val="28"/>
          <w:lang w:val="uk-UA"/>
        </w:rPr>
      </w:pPr>
      <w:bookmarkStart w:id="10" w:name="n406"/>
      <w:bookmarkEnd w:id="10"/>
      <w:r w:rsidRPr="005A1336">
        <w:rPr>
          <w:sz w:val="28"/>
          <w:szCs w:val="28"/>
          <w:lang w:val="uk-UA"/>
        </w:rPr>
        <w:t>3. Процедура підготовки, встановлена цим Порядком, є обов’язковою для про</w:t>
      </w:r>
      <w:r w:rsidR="00B06D3B" w:rsidRPr="005A1336">
        <w:rPr>
          <w:sz w:val="28"/>
          <w:szCs w:val="28"/>
          <w:lang w:val="uk-UA"/>
        </w:rPr>
        <w:t>є</w:t>
      </w:r>
      <w:r w:rsidRPr="005A1336">
        <w:rPr>
          <w:sz w:val="28"/>
          <w:szCs w:val="28"/>
          <w:lang w:val="uk-UA"/>
        </w:rPr>
        <w:t xml:space="preserve">ктів та програм, що потребуватимуть фінансування з державного бюджету та/або надання державної підтримки, </w:t>
      </w:r>
      <w:r w:rsidR="00A00D94" w:rsidRPr="00A00D94">
        <w:rPr>
          <w:sz w:val="28"/>
          <w:szCs w:val="28"/>
          <w:lang w:val="uk-UA"/>
        </w:rPr>
        <w:t>та</w:t>
      </w:r>
      <w:r w:rsidRPr="00A00D94">
        <w:rPr>
          <w:sz w:val="28"/>
          <w:szCs w:val="28"/>
          <w:lang w:val="uk-UA"/>
        </w:rPr>
        <w:t xml:space="preserve"> д</w:t>
      </w:r>
      <w:r w:rsidRPr="005A1336">
        <w:rPr>
          <w:sz w:val="28"/>
          <w:szCs w:val="28"/>
          <w:lang w:val="uk-UA"/>
        </w:rPr>
        <w:t>ля про</w:t>
      </w:r>
      <w:r w:rsidR="00556000" w:rsidRPr="005A1336">
        <w:rPr>
          <w:sz w:val="28"/>
          <w:szCs w:val="28"/>
          <w:lang w:val="uk-UA"/>
        </w:rPr>
        <w:t>є</w:t>
      </w:r>
      <w:r w:rsidRPr="005A1336">
        <w:rPr>
          <w:sz w:val="28"/>
          <w:szCs w:val="28"/>
          <w:lang w:val="uk-UA"/>
        </w:rPr>
        <w:t xml:space="preserve">ктів та програм, що фінансуватимуться з </w:t>
      </w:r>
      <w:r w:rsidR="009F2D04" w:rsidRPr="005A1336">
        <w:rPr>
          <w:sz w:val="28"/>
          <w:szCs w:val="28"/>
          <w:lang w:val="uk-UA"/>
        </w:rPr>
        <w:t>бюджету Сумської міської територіальної громади</w:t>
      </w:r>
      <w:r w:rsidRPr="005A1336">
        <w:rPr>
          <w:sz w:val="28"/>
          <w:szCs w:val="28"/>
          <w:lang w:val="uk-UA"/>
        </w:rPr>
        <w:t xml:space="preserve"> та/або з наданням місцевих гарантій.</w:t>
      </w:r>
      <w:bookmarkStart w:id="11" w:name="n347"/>
      <w:bookmarkStart w:id="12" w:name="n407"/>
      <w:bookmarkEnd w:id="11"/>
      <w:bookmarkEnd w:id="12"/>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r w:rsidRPr="005A1336">
        <w:rPr>
          <w:sz w:val="28"/>
          <w:szCs w:val="28"/>
          <w:lang w:val="uk-UA"/>
        </w:rPr>
        <w:lastRenderedPageBreak/>
        <w:t xml:space="preserve">4. Підготовка </w:t>
      </w:r>
      <w:r w:rsidR="00CD62B8" w:rsidRPr="005A1336">
        <w:rPr>
          <w:sz w:val="28"/>
          <w:szCs w:val="28"/>
          <w:lang w:val="uk-UA"/>
        </w:rPr>
        <w:t xml:space="preserve">публічних інвестиційних проєктів та програм публічних інвестицій Сумської міської територіальної громади </w:t>
      </w:r>
      <w:r w:rsidRPr="005A1336">
        <w:rPr>
          <w:sz w:val="28"/>
          <w:szCs w:val="28"/>
          <w:lang w:val="uk-UA"/>
        </w:rPr>
        <w:t>здійснюється</w:t>
      </w:r>
      <w:r w:rsidR="00CD62B8" w:rsidRPr="005A1336">
        <w:rPr>
          <w:sz w:val="28"/>
          <w:szCs w:val="28"/>
          <w:lang w:val="uk-UA"/>
        </w:rPr>
        <w:t xml:space="preserve"> в</w:t>
      </w:r>
      <w:r w:rsidRPr="005A1336">
        <w:rPr>
          <w:sz w:val="28"/>
          <w:szCs w:val="28"/>
          <w:lang w:val="uk-UA"/>
        </w:rPr>
        <w:t xml:space="preserve">ідповідно до цілей і завдань, визначених документами стратегічного планування </w:t>
      </w:r>
      <w:r w:rsidR="00CD62B8" w:rsidRPr="005A1336">
        <w:rPr>
          <w:sz w:val="28"/>
          <w:szCs w:val="28"/>
          <w:lang w:val="uk-UA"/>
        </w:rPr>
        <w:t>громади</w:t>
      </w:r>
      <w:r w:rsidRPr="005A1336">
        <w:rPr>
          <w:sz w:val="28"/>
          <w:szCs w:val="28"/>
          <w:lang w:val="uk-UA"/>
        </w:rPr>
        <w:t>, а також відповідно до цілей і напрямів публічного інвестуванн</w:t>
      </w:r>
      <w:r w:rsidR="00CD62B8" w:rsidRPr="005A1336">
        <w:rPr>
          <w:sz w:val="28"/>
          <w:szCs w:val="28"/>
          <w:lang w:val="uk-UA"/>
        </w:rPr>
        <w:t>я, визначених Середньостроковим</w:t>
      </w:r>
      <w:r w:rsidRPr="005A1336">
        <w:rPr>
          <w:sz w:val="28"/>
          <w:szCs w:val="28"/>
          <w:lang w:val="uk-UA"/>
        </w:rPr>
        <w:t xml:space="preserve"> план</w:t>
      </w:r>
      <w:r w:rsidR="00CD62B8" w:rsidRPr="005A1336">
        <w:rPr>
          <w:sz w:val="28"/>
          <w:szCs w:val="28"/>
          <w:lang w:val="uk-UA"/>
        </w:rPr>
        <w:t>ом</w:t>
      </w:r>
      <w:r w:rsidRPr="005A1336">
        <w:rPr>
          <w:sz w:val="28"/>
          <w:szCs w:val="28"/>
          <w:lang w:val="uk-UA"/>
        </w:rPr>
        <w:t xml:space="preserve"> пріоритетних публічних інвестицій </w:t>
      </w:r>
      <w:r w:rsidR="00CD62B8" w:rsidRPr="005A1336">
        <w:rPr>
          <w:sz w:val="28"/>
          <w:szCs w:val="28"/>
          <w:lang w:val="uk-UA"/>
        </w:rPr>
        <w:t>Сумської міської територіальної громади</w:t>
      </w:r>
      <w:r w:rsidRPr="005A1336">
        <w:rPr>
          <w:sz w:val="28"/>
          <w:szCs w:val="28"/>
          <w:lang w:val="uk-UA"/>
        </w:rPr>
        <w:t>.</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13" w:name="n408"/>
      <w:bookmarkEnd w:id="13"/>
      <w:r w:rsidRPr="005A1336">
        <w:rPr>
          <w:sz w:val="28"/>
          <w:szCs w:val="28"/>
          <w:lang w:val="uk-UA"/>
        </w:rPr>
        <w:t>5. Підготовка про</w:t>
      </w:r>
      <w:r w:rsidR="00B06D3B" w:rsidRPr="005A1336">
        <w:rPr>
          <w:sz w:val="28"/>
          <w:szCs w:val="28"/>
          <w:lang w:val="uk-UA"/>
        </w:rPr>
        <w:t>є</w:t>
      </w:r>
      <w:r w:rsidRPr="005A1336">
        <w:rPr>
          <w:sz w:val="28"/>
          <w:szCs w:val="28"/>
          <w:lang w:val="uk-UA"/>
        </w:rPr>
        <w:t>ктів та програм здійснюється ініціаторами про</w:t>
      </w:r>
      <w:r w:rsidR="00B06D3B" w:rsidRPr="005A1336">
        <w:rPr>
          <w:sz w:val="28"/>
          <w:szCs w:val="28"/>
          <w:lang w:val="uk-UA"/>
        </w:rPr>
        <w:t>є</w:t>
      </w:r>
      <w:r w:rsidRPr="005A1336">
        <w:rPr>
          <w:sz w:val="28"/>
          <w:szCs w:val="28"/>
          <w:lang w:val="uk-UA"/>
        </w:rPr>
        <w:t>ктів та програм в електронній формі з використанням Єдиної інформаційної системи управління публічними інвестиційними про</w:t>
      </w:r>
      <w:r w:rsidR="00B06D3B" w:rsidRPr="005A1336">
        <w:rPr>
          <w:sz w:val="28"/>
          <w:szCs w:val="28"/>
          <w:lang w:val="uk-UA"/>
        </w:rPr>
        <w:t>є</w:t>
      </w:r>
      <w:r w:rsidRPr="005A1336">
        <w:rPr>
          <w:sz w:val="28"/>
          <w:szCs w:val="28"/>
          <w:lang w:val="uk-UA"/>
        </w:rPr>
        <w:t>ктами (далі - Єдина інформаційна система) шляхом внесення інформації щодо про</w:t>
      </w:r>
      <w:r w:rsidR="00B06D3B" w:rsidRPr="005A1336">
        <w:rPr>
          <w:sz w:val="28"/>
          <w:szCs w:val="28"/>
          <w:lang w:val="uk-UA"/>
        </w:rPr>
        <w:t>є</w:t>
      </w:r>
      <w:r w:rsidRPr="005A1336">
        <w:rPr>
          <w:sz w:val="28"/>
          <w:szCs w:val="28"/>
          <w:lang w:val="uk-UA"/>
        </w:rPr>
        <w:t xml:space="preserve">кту </w:t>
      </w:r>
      <w:r w:rsidR="004807B6" w:rsidRPr="005A1336">
        <w:rPr>
          <w:sz w:val="28"/>
          <w:szCs w:val="28"/>
          <w:lang w:val="uk-UA"/>
        </w:rPr>
        <w:t xml:space="preserve">згідно з Додатком </w:t>
      </w:r>
      <w:r w:rsidR="009E22CF">
        <w:rPr>
          <w:sz w:val="28"/>
          <w:szCs w:val="28"/>
          <w:lang w:val="uk-UA"/>
        </w:rPr>
        <w:t>до цього Порядку</w:t>
      </w:r>
      <w:r w:rsidR="004807B6" w:rsidRPr="005A1336">
        <w:rPr>
          <w:sz w:val="28"/>
          <w:szCs w:val="28"/>
          <w:lang w:val="uk-UA"/>
        </w:rPr>
        <w:t xml:space="preserve"> </w:t>
      </w:r>
      <w:r w:rsidRPr="005A1336">
        <w:rPr>
          <w:sz w:val="28"/>
          <w:szCs w:val="28"/>
          <w:lang w:val="uk-UA"/>
        </w:rPr>
        <w:t xml:space="preserve">та </w:t>
      </w:r>
      <w:r w:rsidR="00A00D94">
        <w:rPr>
          <w:sz w:val="28"/>
          <w:szCs w:val="28"/>
          <w:lang w:val="uk-UA"/>
        </w:rPr>
        <w:t xml:space="preserve">внесення інформації щодо </w:t>
      </w:r>
      <w:r w:rsidR="009E22CF">
        <w:rPr>
          <w:sz w:val="28"/>
          <w:szCs w:val="28"/>
          <w:lang w:val="uk-UA"/>
        </w:rPr>
        <w:t xml:space="preserve">програми </w:t>
      </w:r>
      <w:r w:rsidRPr="005A1336">
        <w:rPr>
          <w:sz w:val="28"/>
          <w:szCs w:val="28"/>
          <w:lang w:val="uk-UA"/>
        </w:rPr>
        <w:t>відповідно до</w:t>
      </w:r>
      <w:r w:rsidR="004807B6" w:rsidRPr="005A1336">
        <w:rPr>
          <w:sz w:val="28"/>
          <w:szCs w:val="28"/>
          <w:lang w:val="uk-UA"/>
        </w:rPr>
        <w:t xml:space="preserve"> пункту 13 </w:t>
      </w:r>
      <w:r w:rsidRPr="005A1336">
        <w:rPr>
          <w:sz w:val="28"/>
          <w:szCs w:val="28"/>
          <w:lang w:val="uk-UA"/>
        </w:rPr>
        <w:t>цього Порядку.</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14" w:name="n350"/>
      <w:bookmarkEnd w:id="14"/>
      <w:r w:rsidRPr="005A1336">
        <w:rPr>
          <w:sz w:val="28"/>
          <w:szCs w:val="28"/>
          <w:lang w:val="uk-UA"/>
        </w:rPr>
        <w:t>Під час внесення інформації про про</w:t>
      </w:r>
      <w:r w:rsidR="00B06D3B" w:rsidRPr="005A1336">
        <w:rPr>
          <w:sz w:val="28"/>
          <w:szCs w:val="28"/>
          <w:lang w:val="uk-UA"/>
        </w:rPr>
        <w:t>є</w:t>
      </w:r>
      <w:r w:rsidRPr="005A1336">
        <w:rPr>
          <w:sz w:val="28"/>
          <w:szCs w:val="28"/>
          <w:lang w:val="uk-UA"/>
        </w:rPr>
        <w:t>кти та програми до Єдиної інформаційної системи кожному про</w:t>
      </w:r>
      <w:r w:rsidR="00B06D3B" w:rsidRPr="005A1336">
        <w:rPr>
          <w:sz w:val="28"/>
          <w:szCs w:val="28"/>
          <w:lang w:val="uk-UA"/>
        </w:rPr>
        <w:t>є</w:t>
      </w:r>
      <w:r w:rsidRPr="005A1336">
        <w:rPr>
          <w:sz w:val="28"/>
          <w:szCs w:val="28"/>
          <w:lang w:val="uk-UA"/>
        </w:rPr>
        <w:t>кту та програмі присвоюється унікальний ідентифікатор.</w:t>
      </w:r>
    </w:p>
    <w:p w:rsidR="004568B8" w:rsidRDefault="004568B8" w:rsidP="005D0FDF">
      <w:pPr>
        <w:pStyle w:val="rvps2"/>
        <w:shd w:val="clear" w:color="auto" w:fill="FFFFFF"/>
        <w:spacing w:before="0" w:beforeAutospacing="0" w:after="150" w:afterAutospacing="0"/>
        <w:ind w:firstLine="567"/>
        <w:jc w:val="both"/>
        <w:rPr>
          <w:sz w:val="28"/>
          <w:szCs w:val="28"/>
          <w:lang w:val="uk-UA"/>
        </w:rPr>
      </w:pPr>
      <w:bookmarkStart w:id="15" w:name="n409"/>
      <w:bookmarkEnd w:id="15"/>
      <w:r w:rsidRPr="005A1336">
        <w:rPr>
          <w:sz w:val="28"/>
          <w:szCs w:val="28"/>
          <w:lang w:val="uk-UA"/>
        </w:rPr>
        <w:t>6. Організація підготовки про</w:t>
      </w:r>
      <w:r w:rsidR="00B06D3B" w:rsidRPr="005A1336">
        <w:rPr>
          <w:sz w:val="28"/>
          <w:szCs w:val="28"/>
          <w:lang w:val="uk-UA"/>
        </w:rPr>
        <w:t>є</w:t>
      </w:r>
      <w:r w:rsidRPr="005A1336">
        <w:rPr>
          <w:sz w:val="28"/>
          <w:szCs w:val="28"/>
          <w:lang w:val="uk-UA"/>
        </w:rPr>
        <w:t xml:space="preserve">ктів та програм здійснюється з урахуванням вимог цього Порядку, методичних </w:t>
      </w:r>
      <w:bookmarkStart w:id="16" w:name="_GoBack"/>
      <w:r w:rsidRPr="005A1336">
        <w:rPr>
          <w:sz w:val="28"/>
          <w:szCs w:val="28"/>
          <w:lang w:val="uk-UA"/>
        </w:rPr>
        <w:t>рек</w:t>
      </w:r>
      <w:bookmarkEnd w:id="16"/>
      <w:r w:rsidRPr="005A1336">
        <w:rPr>
          <w:sz w:val="28"/>
          <w:szCs w:val="28"/>
          <w:lang w:val="uk-UA"/>
        </w:rPr>
        <w:t xml:space="preserve">омендацій, затверджених </w:t>
      </w:r>
      <w:r w:rsidR="00A84CCA">
        <w:rPr>
          <w:sz w:val="28"/>
          <w:szCs w:val="28"/>
          <w:lang w:val="uk-UA"/>
        </w:rPr>
        <w:t xml:space="preserve">наказом </w:t>
      </w:r>
      <w:r w:rsidR="00A84CCA" w:rsidRPr="00A84CCA">
        <w:rPr>
          <w:sz w:val="28"/>
          <w:szCs w:val="28"/>
          <w:lang w:val="uk-UA"/>
        </w:rPr>
        <w:t xml:space="preserve">Мінекономіки </w:t>
      </w:r>
      <w:r w:rsidR="00A84CCA">
        <w:rPr>
          <w:sz w:val="28"/>
          <w:szCs w:val="28"/>
          <w:lang w:val="uk-UA"/>
        </w:rPr>
        <w:t>від</w:t>
      </w:r>
      <w:r w:rsidR="00A84CCA" w:rsidRPr="00A84CCA">
        <w:rPr>
          <w:sz w:val="28"/>
          <w:szCs w:val="28"/>
          <w:lang w:val="uk-UA"/>
        </w:rPr>
        <w:t xml:space="preserve"> 10 квітня 2026 року № 4901</w:t>
      </w:r>
      <w:r w:rsidRPr="005A1336">
        <w:rPr>
          <w:sz w:val="28"/>
          <w:szCs w:val="28"/>
          <w:lang w:val="uk-UA"/>
        </w:rPr>
        <w:t>, галузевих методичних рекомендацій, затверджених відповідальними за галузь (сектор) міністерствами, та рекомендацій щодо підготовки про</w:t>
      </w:r>
      <w:r w:rsidR="00B06D3B" w:rsidRPr="005A1336">
        <w:rPr>
          <w:sz w:val="28"/>
          <w:szCs w:val="28"/>
          <w:lang w:val="uk-UA"/>
        </w:rPr>
        <w:t>є</w:t>
      </w:r>
      <w:r w:rsidRPr="005A1336">
        <w:rPr>
          <w:sz w:val="28"/>
          <w:szCs w:val="28"/>
          <w:lang w:val="uk-UA"/>
        </w:rPr>
        <w:t>ктів та програм, наданих Міжвідомчою робочою групою з підготовки публічних інвестиційних про</w:t>
      </w:r>
      <w:r w:rsidR="00556000" w:rsidRPr="005A1336">
        <w:rPr>
          <w:sz w:val="28"/>
          <w:szCs w:val="28"/>
          <w:lang w:val="uk-UA"/>
        </w:rPr>
        <w:t>є</w:t>
      </w:r>
      <w:r w:rsidRPr="005A1336">
        <w:rPr>
          <w:sz w:val="28"/>
          <w:szCs w:val="28"/>
          <w:lang w:val="uk-UA"/>
        </w:rPr>
        <w:t>ктів.</w:t>
      </w:r>
    </w:p>
    <w:p w:rsidR="00A84CCA" w:rsidRPr="00A84CCA" w:rsidRDefault="00A84CCA" w:rsidP="00A84CCA">
      <w:pPr>
        <w:pStyle w:val="rvps2"/>
        <w:shd w:val="clear" w:color="auto" w:fill="FFFFFF"/>
        <w:spacing w:before="0" w:beforeAutospacing="0" w:after="150" w:afterAutospacing="0"/>
        <w:ind w:firstLine="450"/>
        <w:jc w:val="both"/>
        <w:rPr>
          <w:sz w:val="28"/>
          <w:szCs w:val="28"/>
          <w:lang w:val="uk-UA"/>
        </w:rPr>
      </w:pPr>
      <w:r w:rsidRPr="00A84CCA">
        <w:rPr>
          <w:sz w:val="28"/>
          <w:szCs w:val="28"/>
          <w:lang w:val="uk-UA"/>
        </w:rPr>
        <w:t>Підготовка та реалізація проектів може здійснюватися за допомогою програм для підготовки проєктів, які можуть забезпечувати аналітичну (консультаційну/дорадчу) підтримку під час розроблення проєкту, підготовку попереднього інвестиційного та інвестиційного техніко-економічного обґрунтування, тендерної та проєктної документації, технічних специфікацій, фінансового структурування для залучення приватних коштів та/або розподілу ризиків з приватним сектором, підвищення інституційної спроможності ініціатора проєкту, інші заходи, необхідні для ефективної підготовки та реалізації проєктів.</w:t>
      </w:r>
    </w:p>
    <w:p w:rsidR="00A84CCA" w:rsidRPr="00A84CCA" w:rsidRDefault="00A84CCA" w:rsidP="00A84CCA">
      <w:pPr>
        <w:pStyle w:val="rvps2"/>
        <w:shd w:val="clear" w:color="auto" w:fill="FFFFFF"/>
        <w:spacing w:before="0" w:beforeAutospacing="0" w:after="150" w:afterAutospacing="0"/>
        <w:ind w:firstLine="450"/>
        <w:jc w:val="both"/>
        <w:rPr>
          <w:sz w:val="28"/>
          <w:szCs w:val="28"/>
          <w:lang w:val="uk-UA"/>
        </w:rPr>
      </w:pPr>
      <w:bookmarkStart w:id="17" w:name="n353"/>
      <w:bookmarkEnd w:id="17"/>
      <w:r w:rsidRPr="00A84CCA">
        <w:rPr>
          <w:sz w:val="28"/>
          <w:szCs w:val="28"/>
          <w:lang w:val="uk-UA"/>
        </w:rPr>
        <w:t>У разі залучення програм для підготовки проєктів до процедури підготовки проєкту ініціатор проєкту забезпечує внесення до Єдиної інформаційної системи інформації, передбаченої цим Порядком, надсилання проєктів на оцінку, а також прийняття подальших рішень, пов’язаних із таким проєктом. Ініціатор проєкту має право використовувати інформацію, відомості та інші матеріали, отримані від програм для підготовки проєктів.</w:t>
      </w:r>
    </w:p>
    <w:p w:rsidR="0029027A" w:rsidRPr="00485AD0" w:rsidRDefault="004568B8" w:rsidP="005D0FDF">
      <w:pPr>
        <w:pStyle w:val="rvps2"/>
        <w:shd w:val="clear" w:color="auto" w:fill="FFFFFF"/>
        <w:spacing w:before="0" w:beforeAutospacing="0" w:after="150" w:afterAutospacing="0"/>
        <w:ind w:firstLine="567"/>
        <w:jc w:val="both"/>
        <w:rPr>
          <w:sz w:val="28"/>
          <w:szCs w:val="28"/>
          <w:lang w:val="uk-UA"/>
        </w:rPr>
      </w:pPr>
      <w:bookmarkStart w:id="18" w:name="n352"/>
      <w:bookmarkStart w:id="19" w:name="n410"/>
      <w:bookmarkEnd w:id="18"/>
      <w:bookmarkEnd w:id="19"/>
      <w:r w:rsidRPr="005A1336">
        <w:rPr>
          <w:sz w:val="28"/>
          <w:szCs w:val="28"/>
          <w:lang w:val="uk-UA"/>
        </w:rPr>
        <w:t xml:space="preserve">7. </w:t>
      </w:r>
      <w:r w:rsidR="0029027A" w:rsidRPr="005A1336">
        <w:rPr>
          <w:sz w:val="28"/>
          <w:szCs w:val="28"/>
          <w:lang w:val="uk-UA"/>
        </w:rPr>
        <w:t>Підготовка про</w:t>
      </w:r>
      <w:r w:rsidR="00B06D3B" w:rsidRPr="005A1336">
        <w:rPr>
          <w:sz w:val="28"/>
          <w:szCs w:val="28"/>
          <w:lang w:val="uk-UA"/>
        </w:rPr>
        <w:t>є</w:t>
      </w:r>
      <w:r w:rsidR="0029027A" w:rsidRPr="005A1336">
        <w:rPr>
          <w:sz w:val="28"/>
          <w:szCs w:val="28"/>
          <w:lang w:val="uk-UA"/>
        </w:rPr>
        <w:t xml:space="preserve">ктів передбачає здійснення стратегічного, економічного, комерційного, фінансового та управлінського обґрунтування та включає стадії розроблення попереднього інвестиційного техніко-економічного обґрунтування </w:t>
      </w:r>
      <w:r w:rsidR="0029027A" w:rsidRPr="005A1336">
        <w:rPr>
          <w:sz w:val="28"/>
          <w:szCs w:val="28"/>
          <w:lang w:val="uk-UA"/>
        </w:rPr>
        <w:lastRenderedPageBreak/>
        <w:t>про</w:t>
      </w:r>
      <w:r w:rsidR="00B06D3B" w:rsidRPr="005A1336">
        <w:rPr>
          <w:sz w:val="28"/>
          <w:szCs w:val="28"/>
          <w:lang w:val="uk-UA"/>
        </w:rPr>
        <w:t>є</w:t>
      </w:r>
      <w:r w:rsidR="0029027A" w:rsidRPr="005A1336">
        <w:rPr>
          <w:sz w:val="28"/>
          <w:szCs w:val="28"/>
          <w:lang w:val="uk-UA"/>
        </w:rPr>
        <w:t>кту, інвестиційного техніко-економічного обґрунтування та стадію розроблення техніко-економічного обґрунтування здійснення д</w:t>
      </w:r>
      <w:r w:rsidR="00485AD0">
        <w:rPr>
          <w:sz w:val="28"/>
          <w:szCs w:val="28"/>
          <w:lang w:val="uk-UA"/>
        </w:rPr>
        <w:t xml:space="preserve">ержавно-приватного </w:t>
      </w:r>
      <w:r w:rsidR="00485AD0" w:rsidRPr="00485AD0">
        <w:rPr>
          <w:sz w:val="28"/>
          <w:szCs w:val="28"/>
          <w:lang w:val="uk-UA"/>
        </w:rPr>
        <w:t xml:space="preserve">партнерства </w:t>
      </w:r>
      <w:r w:rsidR="00485AD0" w:rsidRPr="00485AD0">
        <w:rPr>
          <w:sz w:val="28"/>
          <w:szCs w:val="28"/>
          <w:shd w:val="clear" w:color="auto" w:fill="FFFFFF"/>
          <w:lang w:val="uk-UA"/>
        </w:rPr>
        <w:t>для проєктів, реалізація яких здійснюється на умовах державно-приватного партнерства.</w:t>
      </w:r>
    </w:p>
    <w:p w:rsidR="00485AD0" w:rsidRPr="005A1336" w:rsidRDefault="00485AD0" w:rsidP="00485AD0">
      <w:pPr>
        <w:pStyle w:val="rvps2"/>
        <w:shd w:val="clear" w:color="auto" w:fill="FFFFFF"/>
        <w:spacing w:before="0" w:beforeAutospacing="0" w:after="150" w:afterAutospacing="0"/>
        <w:ind w:firstLine="567"/>
        <w:jc w:val="both"/>
        <w:rPr>
          <w:sz w:val="28"/>
          <w:szCs w:val="28"/>
          <w:lang w:val="uk-UA"/>
        </w:rPr>
      </w:pPr>
      <w:r w:rsidRPr="005A1336">
        <w:rPr>
          <w:sz w:val="28"/>
          <w:szCs w:val="28"/>
          <w:lang w:val="uk-UA"/>
        </w:rPr>
        <w:t>Зміст попереднього інвестиційного техніко-економічного обґрунтування та інвестиційного техніко-економічного обґрунтування залежно від прогнозної загальної вартості проєкту наведено у Додатку  до цього Порядку.</w:t>
      </w:r>
    </w:p>
    <w:p w:rsidR="00485AD0" w:rsidRPr="005A1336" w:rsidRDefault="00485AD0" w:rsidP="00485AD0">
      <w:pPr>
        <w:pStyle w:val="rvps2"/>
        <w:shd w:val="clear" w:color="auto" w:fill="FFFFFF"/>
        <w:spacing w:before="0" w:beforeAutospacing="0" w:after="150" w:afterAutospacing="0"/>
        <w:ind w:firstLine="567"/>
        <w:jc w:val="both"/>
        <w:rPr>
          <w:sz w:val="28"/>
          <w:szCs w:val="28"/>
          <w:lang w:val="uk-UA"/>
        </w:rPr>
      </w:pPr>
      <w:bookmarkStart w:id="20" w:name="n359"/>
      <w:bookmarkEnd w:id="20"/>
      <w:r w:rsidRPr="005A1336">
        <w:rPr>
          <w:sz w:val="28"/>
          <w:szCs w:val="28"/>
          <w:lang w:val="uk-UA"/>
        </w:rPr>
        <w:t xml:space="preserve">Зміст техніко-економічного обґрунтування здійснення державно-приватного партнерства визначається </w:t>
      </w:r>
      <w:hyperlink r:id="rId7" w:anchor="n274" w:tgtFrame="_blank" w:history="1">
        <w:r w:rsidRPr="005A1336">
          <w:rPr>
            <w:rStyle w:val="a3"/>
            <w:color w:val="auto"/>
            <w:sz w:val="28"/>
            <w:szCs w:val="28"/>
            <w:u w:val="none"/>
            <w:lang w:val="uk-UA"/>
          </w:rPr>
          <w:t>Порядком проведення аналізу ефективності здійснення державно-приватного партнерства</w:t>
        </w:r>
      </w:hyperlink>
      <w:r w:rsidRPr="005A1336">
        <w:rPr>
          <w:sz w:val="28"/>
          <w:szCs w:val="28"/>
          <w:lang w:val="uk-UA"/>
        </w:rPr>
        <w:t>, затвердженим постановою Кабінету Міністрів України від 11 квітня 2011 р. № 384 «Деякі питання організації здійснення державно-приватного партнерства».</w:t>
      </w:r>
    </w:p>
    <w:p w:rsidR="00EE319C" w:rsidRPr="005A1336" w:rsidRDefault="00EE319C" w:rsidP="00485AD0">
      <w:pPr>
        <w:pStyle w:val="rvps2"/>
        <w:shd w:val="clear" w:color="auto" w:fill="FFFFFF"/>
        <w:spacing w:before="0" w:beforeAutospacing="0" w:after="150"/>
        <w:ind w:firstLine="567"/>
        <w:jc w:val="both"/>
        <w:rPr>
          <w:sz w:val="28"/>
          <w:szCs w:val="28"/>
          <w:lang w:val="uk-UA"/>
        </w:rPr>
      </w:pPr>
      <w:r w:rsidRPr="005A1336">
        <w:rPr>
          <w:sz w:val="28"/>
          <w:szCs w:val="28"/>
          <w:lang w:val="uk-UA"/>
        </w:rPr>
        <w:t>Попереднє інвестиційне техніко-економічне обґрунтування є обов’язковим для всіх про</w:t>
      </w:r>
      <w:r w:rsidR="00B06D3B" w:rsidRPr="005A1336">
        <w:rPr>
          <w:sz w:val="28"/>
          <w:szCs w:val="28"/>
          <w:lang w:val="uk-UA"/>
        </w:rPr>
        <w:t>є</w:t>
      </w:r>
      <w:r w:rsidRPr="005A1336">
        <w:rPr>
          <w:sz w:val="28"/>
          <w:szCs w:val="28"/>
          <w:lang w:val="uk-UA"/>
        </w:rPr>
        <w:t xml:space="preserve">ктів. </w:t>
      </w:r>
    </w:p>
    <w:p w:rsidR="00EE319C" w:rsidRPr="005A1336" w:rsidRDefault="00EE319C" w:rsidP="005D0FDF">
      <w:pPr>
        <w:pStyle w:val="rvps2"/>
        <w:shd w:val="clear" w:color="auto" w:fill="FFFFFF"/>
        <w:spacing w:before="0" w:beforeAutospacing="0" w:after="150" w:afterAutospacing="0"/>
        <w:ind w:firstLine="567"/>
        <w:jc w:val="both"/>
        <w:rPr>
          <w:sz w:val="28"/>
          <w:szCs w:val="28"/>
          <w:lang w:val="uk-UA"/>
        </w:rPr>
      </w:pPr>
      <w:r w:rsidRPr="005A1336">
        <w:rPr>
          <w:sz w:val="28"/>
          <w:szCs w:val="28"/>
          <w:lang w:val="uk-UA"/>
        </w:rPr>
        <w:t>Інвестиційне техніко-економічне обґрунтування є обов’язковим для про</w:t>
      </w:r>
      <w:r w:rsidR="00B06D3B" w:rsidRPr="005A1336">
        <w:rPr>
          <w:sz w:val="28"/>
          <w:szCs w:val="28"/>
          <w:lang w:val="uk-UA"/>
        </w:rPr>
        <w:t>є</w:t>
      </w:r>
      <w:r w:rsidRPr="005A1336">
        <w:rPr>
          <w:sz w:val="28"/>
          <w:szCs w:val="28"/>
          <w:lang w:val="uk-UA"/>
        </w:rPr>
        <w:t>ктів, прогнозована загальна вартість яких перевищує 50 млн. гривень, крім про</w:t>
      </w:r>
      <w:r w:rsidR="00B06D3B" w:rsidRPr="005A1336">
        <w:rPr>
          <w:sz w:val="28"/>
          <w:szCs w:val="28"/>
          <w:lang w:val="uk-UA"/>
        </w:rPr>
        <w:t>є</w:t>
      </w:r>
      <w:r w:rsidRPr="005A1336">
        <w:rPr>
          <w:sz w:val="28"/>
          <w:szCs w:val="28"/>
          <w:lang w:val="uk-UA"/>
        </w:rPr>
        <w:t>ктів, реалізація яких здійснюється на умовах державно-приватного партнерства. Техніко-економічне обґрунтування здійснення державно-приватного партнерства є обов’язковим для про</w:t>
      </w:r>
      <w:r w:rsidR="00B06D3B" w:rsidRPr="005A1336">
        <w:rPr>
          <w:sz w:val="28"/>
          <w:szCs w:val="28"/>
          <w:lang w:val="uk-UA"/>
        </w:rPr>
        <w:t>є</w:t>
      </w:r>
      <w:r w:rsidRPr="005A1336">
        <w:rPr>
          <w:sz w:val="28"/>
          <w:szCs w:val="28"/>
          <w:lang w:val="uk-UA"/>
        </w:rPr>
        <w:t>ктів, реалізація яких здійснюється на умовах державно-приватного партнерства.</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1" w:name="n358"/>
      <w:bookmarkStart w:id="22" w:name="n411"/>
      <w:bookmarkEnd w:id="21"/>
      <w:bookmarkEnd w:id="22"/>
      <w:r w:rsidRPr="005A1336">
        <w:rPr>
          <w:sz w:val="28"/>
          <w:szCs w:val="28"/>
          <w:lang w:val="uk-UA"/>
        </w:rPr>
        <w:t>8. Ініціатор про</w:t>
      </w:r>
      <w:r w:rsidR="00556000" w:rsidRPr="005A1336">
        <w:rPr>
          <w:sz w:val="28"/>
          <w:szCs w:val="28"/>
          <w:lang w:val="uk-UA"/>
        </w:rPr>
        <w:t>є</w:t>
      </w:r>
      <w:r w:rsidRPr="005A1336">
        <w:rPr>
          <w:sz w:val="28"/>
          <w:szCs w:val="28"/>
          <w:lang w:val="uk-UA"/>
        </w:rPr>
        <w:t>кту з дня завершення внесення до Єдиної інформаційної системи інформації щодо попереднього інвестиційного техніко-економічного обґрунтування про</w:t>
      </w:r>
      <w:r w:rsidR="00B06D3B" w:rsidRPr="005A1336">
        <w:rPr>
          <w:sz w:val="28"/>
          <w:szCs w:val="28"/>
          <w:lang w:val="uk-UA"/>
        </w:rPr>
        <w:t>є</w:t>
      </w:r>
      <w:r w:rsidRPr="005A1336">
        <w:rPr>
          <w:sz w:val="28"/>
          <w:szCs w:val="28"/>
          <w:lang w:val="uk-UA"/>
        </w:rPr>
        <w:t>кту, прогнозована загальна вартість якого:</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3" w:name="n361"/>
      <w:bookmarkEnd w:id="23"/>
      <w:r w:rsidRPr="005A1336">
        <w:rPr>
          <w:sz w:val="28"/>
          <w:szCs w:val="28"/>
          <w:lang w:val="uk-UA"/>
        </w:rPr>
        <w:t>не перевищує 50 млн. гривень, - може розпочати підготовку інвестиційного техніко-економічного обґрунтування для такого про</w:t>
      </w:r>
      <w:r w:rsidR="00B06D3B" w:rsidRPr="005A1336">
        <w:rPr>
          <w:sz w:val="28"/>
          <w:szCs w:val="28"/>
          <w:lang w:val="uk-UA"/>
        </w:rPr>
        <w:t>є</w:t>
      </w:r>
      <w:r w:rsidRPr="005A1336">
        <w:rPr>
          <w:sz w:val="28"/>
          <w:szCs w:val="28"/>
          <w:lang w:val="uk-UA"/>
        </w:rPr>
        <w:t>кту;</w:t>
      </w:r>
    </w:p>
    <w:p w:rsidR="009F2D04"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4" w:name="n362"/>
      <w:bookmarkEnd w:id="24"/>
      <w:r w:rsidRPr="005A1336">
        <w:rPr>
          <w:sz w:val="28"/>
          <w:szCs w:val="28"/>
          <w:lang w:val="uk-UA"/>
        </w:rPr>
        <w:t>перевищує 50 млн. гривень та який не потребує фінансування з державного та/або бюджету</w:t>
      </w:r>
      <w:r w:rsidR="00E56B71">
        <w:rPr>
          <w:sz w:val="28"/>
          <w:szCs w:val="28"/>
          <w:lang w:val="uk-UA"/>
        </w:rPr>
        <w:t xml:space="preserve"> Сумської міської територіальної громади</w:t>
      </w:r>
      <w:r w:rsidRPr="005A1336">
        <w:rPr>
          <w:sz w:val="28"/>
          <w:szCs w:val="28"/>
          <w:lang w:val="uk-UA"/>
        </w:rPr>
        <w:t xml:space="preserve"> на підготовку інвестиційного техніко-економічного обґрунтування, - може розпочати підготовку інвестиційного техніко-економічного обґрунтування для про</w:t>
      </w:r>
      <w:r w:rsidR="00B06D3B" w:rsidRPr="005A1336">
        <w:rPr>
          <w:sz w:val="28"/>
          <w:szCs w:val="28"/>
          <w:lang w:val="uk-UA"/>
        </w:rPr>
        <w:t>є</w:t>
      </w:r>
      <w:r w:rsidRPr="005A1336">
        <w:rPr>
          <w:sz w:val="28"/>
          <w:szCs w:val="28"/>
          <w:lang w:val="uk-UA"/>
        </w:rPr>
        <w:t>ктів, прогнозована загальна вартість яких перевищує 50 млн. гривень, без обов’язкового проведення галузевої (секторальної) оцінки та включення до галузевого (секторального) про</w:t>
      </w:r>
      <w:r w:rsidR="00B06D3B" w:rsidRPr="005A1336">
        <w:rPr>
          <w:sz w:val="28"/>
          <w:szCs w:val="28"/>
          <w:lang w:val="uk-UA"/>
        </w:rPr>
        <w:t>є</w:t>
      </w:r>
      <w:r w:rsidRPr="005A1336">
        <w:rPr>
          <w:sz w:val="28"/>
          <w:szCs w:val="28"/>
          <w:lang w:val="uk-UA"/>
        </w:rPr>
        <w:t xml:space="preserve">ктного портфеля </w:t>
      </w:r>
      <w:r w:rsidR="00FF2A9B" w:rsidRPr="005A1336">
        <w:rPr>
          <w:sz w:val="28"/>
          <w:szCs w:val="28"/>
          <w:lang w:val="uk-UA"/>
        </w:rPr>
        <w:t xml:space="preserve">Сумської міської </w:t>
      </w:r>
      <w:r w:rsidRPr="005A1336">
        <w:rPr>
          <w:sz w:val="28"/>
          <w:szCs w:val="28"/>
          <w:lang w:val="uk-UA"/>
        </w:rPr>
        <w:t xml:space="preserve">територіальної громади відповідно до </w:t>
      </w:r>
      <w:r w:rsidR="00485AD0" w:rsidRPr="00485AD0">
        <w:rPr>
          <w:sz w:val="28"/>
          <w:szCs w:val="28"/>
          <w:lang w:val="uk-UA"/>
        </w:rPr>
        <w:t>Порядк</w:t>
      </w:r>
      <w:r w:rsidR="00485AD0">
        <w:rPr>
          <w:sz w:val="28"/>
          <w:szCs w:val="28"/>
          <w:lang w:val="uk-UA"/>
        </w:rPr>
        <w:t>у</w:t>
      </w:r>
      <w:r w:rsidR="00485AD0" w:rsidRPr="00485AD0">
        <w:rPr>
          <w:sz w:val="28"/>
          <w:szCs w:val="28"/>
          <w:lang w:val="uk-UA"/>
        </w:rPr>
        <w:t xml:space="preserve"> оцінки публічних інвестиційних проєктів та програм публічних інвестицій Сумської міської територіальної громади</w:t>
      </w:r>
      <w:r w:rsidRPr="005A1336">
        <w:rPr>
          <w:sz w:val="28"/>
          <w:szCs w:val="28"/>
          <w:lang w:val="uk-UA"/>
        </w:rPr>
        <w:t xml:space="preserve"> (далі - Порядок оцінки) та Порядку формування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ктного портфеля публічних інвестицій і галузевого (секторального) про</w:t>
      </w:r>
      <w:r w:rsidR="00B06D3B" w:rsidRPr="005A1336">
        <w:rPr>
          <w:sz w:val="28"/>
          <w:szCs w:val="28"/>
          <w:lang w:val="uk-UA"/>
        </w:rPr>
        <w:t>є</w:t>
      </w:r>
      <w:r w:rsidRPr="005A1336">
        <w:rPr>
          <w:sz w:val="28"/>
          <w:szCs w:val="28"/>
          <w:lang w:val="uk-UA"/>
        </w:rPr>
        <w:t xml:space="preserve">ктного портфеля </w:t>
      </w:r>
      <w:r w:rsidR="009F2D04" w:rsidRPr="005A1336">
        <w:rPr>
          <w:sz w:val="28"/>
          <w:szCs w:val="28"/>
          <w:lang w:val="uk-UA"/>
        </w:rPr>
        <w:t>Сумської міської територіальної</w:t>
      </w:r>
      <w:r w:rsidRPr="005A1336">
        <w:rPr>
          <w:sz w:val="28"/>
          <w:szCs w:val="28"/>
          <w:lang w:val="uk-UA"/>
        </w:rPr>
        <w:t xml:space="preserve"> громади (далі - Порядок формування про</w:t>
      </w:r>
      <w:r w:rsidR="00B06D3B" w:rsidRPr="005A1336">
        <w:rPr>
          <w:sz w:val="28"/>
          <w:szCs w:val="28"/>
          <w:lang w:val="uk-UA"/>
        </w:rPr>
        <w:t>є</w:t>
      </w:r>
      <w:r w:rsidRPr="005A1336">
        <w:rPr>
          <w:sz w:val="28"/>
          <w:szCs w:val="28"/>
          <w:lang w:val="uk-UA"/>
        </w:rPr>
        <w:t>ктних</w:t>
      </w:r>
      <w:r w:rsidR="009F2D04" w:rsidRPr="005A1336">
        <w:rPr>
          <w:sz w:val="28"/>
          <w:szCs w:val="28"/>
          <w:lang w:val="uk-UA"/>
        </w:rPr>
        <w:t xml:space="preserve"> портфелів);</w:t>
      </w:r>
      <w:bookmarkStart w:id="25" w:name="n363"/>
      <w:bookmarkEnd w:id="25"/>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r w:rsidRPr="005A1336">
        <w:rPr>
          <w:sz w:val="28"/>
          <w:szCs w:val="28"/>
          <w:lang w:val="uk-UA"/>
        </w:rPr>
        <w:lastRenderedPageBreak/>
        <w:t xml:space="preserve">перевищує 50 млн. гривень та який потребує фінансування з державного та/або </w:t>
      </w:r>
      <w:r w:rsidR="00E56B71" w:rsidRPr="00E56B71">
        <w:rPr>
          <w:sz w:val="28"/>
          <w:szCs w:val="28"/>
          <w:lang w:val="uk-UA"/>
        </w:rPr>
        <w:t xml:space="preserve">бюджету Сумської міської територіальної громади </w:t>
      </w:r>
      <w:r w:rsidRPr="005A1336">
        <w:rPr>
          <w:sz w:val="28"/>
          <w:szCs w:val="28"/>
          <w:lang w:val="uk-UA"/>
        </w:rPr>
        <w:t>на підготовку інвестиційного техніко-економічного обґрунтування, - забезпечує його погодження та подання для проведення галузевої (секторальної) оцінки та за її результатами включення до галузевого (секторального) про</w:t>
      </w:r>
      <w:r w:rsidR="00B06D3B" w:rsidRPr="005A1336">
        <w:rPr>
          <w:sz w:val="28"/>
          <w:szCs w:val="28"/>
          <w:lang w:val="uk-UA"/>
        </w:rPr>
        <w:t>є</w:t>
      </w:r>
      <w:r w:rsidRPr="005A1336">
        <w:rPr>
          <w:sz w:val="28"/>
          <w:szCs w:val="28"/>
          <w:lang w:val="uk-UA"/>
        </w:rPr>
        <w:t xml:space="preserve">ктного портфеля </w:t>
      </w:r>
      <w:r w:rsidR="009F2D04" w:rsidRPr="005A1336">
        <w:rPr>
          <w:sz w:val="28"/>
          <w:szCs w:val="28"/>
          <w:lang w:val="uk-UA"/>
        </w:rPr>
        <w:t xml:space="preserve">Сумської міської </w:t>
      </w:r>
      <w:r w:rsidRPr="005A1336">
        <w:rPr>
          <w:sz w:val="28"/>
          <w:szCs w:val="28"/>
          <w:lang w:val="uk-UA"/>
        </w:rPr>
        <w:t>територіальної громади відповідно до Порядку оцінки та Порядку формування про</w:t>
      </w:r>
      <w:r w:rsidR="00B06D3B" w:rsidRPr="005A1336">
        <w:rPr>
          <w:sz w:val="28"/>
          <w:szCs w:val="28"/>
          <w:lang w:val="uk-UA"/>
        </w:rPr>
        <w:t>є</w:t>
      </w:r>
      <w:r w:rsidRPr="005A1336">
        <w:rPr>
          <w:sz w:val="28"/>
          <w:szCs w:val="28"/>
          <w:lang w:val="uk-UA"/>
        </w:rPr>
        <w:t>ктних портфелів.</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6" w:name="n412"/>
      <w:bookmarkEnd w:id="26"/>
      <w:r w:rsidRPr="005A1336">
        <w:rPr>
          <w:sz w:val="28"/>
          <w:szCs w:val="28"/>
          <w:lang w:val="uk-UA"/>
        </w:rPr>
        <w:t>9. Ініціатор про</w:t>
      </w:r>
      <w:r w:rsidR="00556000" w:rsidRPr="005A1336">
        <w:rPr>
          <w:sz w:val="28"/>
          <w:szCs w:val="28"/>
          <w:lang w:val="uk-UA"/>
        </w:rPr>
        <w:t>є</w:t>
      </w:r>
      <w:r w:rsidRPr="005A1336">
        <w:rPr>
          <w:sz w:val="28"/>
          <w:szCs w:val="28"/>
          <w:lang w:val="uk-UA"/>
        </w:rPr>
        <w:t>кту з дня завершення внесення до Єдиної інформаційної системи інформації щодо інвестиційного техніко-економічного обґрунтування для про</w:t>
      </w:r>
      <w:r w:rsidR="00B06D3B" w:rsidRPr="005A1336">
        <w:rPr>
          <w:sz w:val="28"/>
          <w:szCs w:val="28"/>
          <w:lang w:val="uk-UA"/>
        </w:rPr>
        <w:t>є</w:t>
      </w:r>
      <w:r w:rsidRPr="005A1336">
        <w:rPr>
          <w:sz w:val="28"/>
          <w:szCs w:val="28"/>
          <w:lang w:val="uk-UA"/>
        </w:rPr>
        <w:t>ктів, прогнозована загальна вартість яких не перевищує 50 млн. гривень, забезпечує його погодження та подання для проведення галузевої (секторальної) оцінки згідно з Порядком оцінки.</w:t>
      </w:r>
    </w:p>
    <w:p w:rsidR="004568B8" w:rsidRPr="00B23C99" w:rsidRDefault="004568B8" w:rsidP="005D0FDF">
      <w:pPr>
        <w:pStyle w:val="rvps2"/>
        <w:shd w:val="clear" w:color="auto" w:fill="FFFFFF"/>
        <w:spacing w:before="0" w:beforeAutospacing="0" w:after="150" w:afterAutospacing="0"/>
        <w:ind w:firstLine="567"/>
        <w:jc w:val="both"/>
        <w:rPr>
          <w:sz w:val="28"/>
          <w:szCs w:val="28"/>
          <w:lang w:val="uk-UA"/>
        </w:rPr>
      </w:pPr>
      <w:bookmarkStart w:id="27" w:name="n413"/>
      <w:bookmarkEnd w:id="27"/>
      <w:r w:rsidRPr="005A1336">
        <w:rPr>
          <w:sz w:val="28"/>
          <w:szCs w:val="28"/>
          <w:lang w:val="uk-UA"/>
        </w:rPr>
        <w:t>10. Ініціатор про</w:t>
      </w:r>
      <w:r w:rsidR="00B06D3B" w:rsidRPr="005A1336">
        <w:rPr>
          <w:sz w:val="28"/>
          <w:szCs w:val="28"/>
          <w:lang w:val="uk-UA"/>
        </w:rPr>
        <w:t>є</w:t>
      </w:r>
      <w:r w:rsidRPr="005A1336">
        <w:rPr>
          <w:sz w:val="28"/>
          <w:szCs w:val="28"/>
          <w:lang w:val="uk-UA"/>
        </w:rPr>
        <w:t xml:space="preserve">кту, прогнозована загальна вартість якого не перевищує 50 млн. гривень і який включений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FF2A9B" w:rsidRPr="005A1336">
        <w:rPr>
          <w:sz w:val="28"/>
          <w:szCs w:val="28"/>
          <w:lang w:val="uk-UA"/>
        </w:rPr>
        <w:t xml:space="preserve">Сумської міської </w:t>
      </w:r>
      <w:r w:rsidRPr="005A1336">
        <w:rPr>
          <w:sz w:val="28"/>
          <w:szCs w:val="28"/>
          <w:lang w:val="uk-UA"/>
        </w:rPr>
        <w:t>територіальної громади та не потребує фінансування з державного бюджету, може розпочати реалізацію такого про</w:t>
      </w:r>
      <w:r w:rsidR="00B06D3B" w:rsidRPr="005A1336">
        <w:rPr>
          <w:sz w:val="28"/>
          <w:szCs w:val="28"/>
          <w:lang w:val="uk-UA"/>
        </w:rPr>
        <w:t>є</w:t>
      </w:r>
      <w:r w:rsidRPr="005A1336">
        <w:rPr>
          <w:sz w:val="28"/>
          <w:szCs w:val="28"/>
          <w:lang w:val="uk-UA"/>
        </w:rPr>
        <w:t>кту без обов’язкового включення його до галузевого (секторального) про</w:t>
      </w:r>
      <w:r w:rsidR="00B06D3B" w:rsidRPr="005A1336">
        <w:rPr>
          <w:sz w:val="28"/>
          <w:szCs w:val="28"/>
          <w:lang w:val="uk-UA"/>
        </w:rPr>
        <w:t>є</w:t>
      </w:r>
      <w:r w:rsidRPr="005A1336">
        <w:rPr>
          <w:sz w:val="28"/>
          <w:szCs w:val="28"/>
          <w:lang w:val="uk-UA"/>
        </w:rPr>
        <w:t xml:space="preserve">ктного портфеля держави та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Pr="00B23C99">
        <w:rPr>
          <w:sz w:val="28"/>
          <w:szCs w:val="28"/>
          <w:lang w:val="uk-UA"/>
        </w:rPr>
        <w:t>держави.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8" w:name="n366"/>
      <w:bookmarkEnd w:id="28"/>
      <w:r w:rsidRPr="00B23C99">
        <w:rPr>
          <w:sz w:val="28"/>
          <w:szCs w:val="28"/>
          <w:lang w:val="uk-UA"/>
        </w:rPr>
        <w:t>У разі коли про</w:t>
      </w:r>
      <w:r w:rsidR="00B06D3B" w:rsidRPr="00B23C99">
        <w:rPr>
          <w:sz w:val="28"/>
          <w:szCs w:val="28"/>
          <w:lang w:val="uk-UA"/>
        </w:rPr>
        <w:t>є</w:t>
      </w:r>
      <w:r w:rsidRPr="00B23C99">
        <w:rPr>
          <w:sz w:val="28"/>
          <w:szCs w:val="28"/>
          <w:lang w:val="uk-UA"/>
        </w:rPr>
        <w:t>кт потребує фінансування з державного бюджету, рішення про початок його реалізації може бути прийнято з моменту включення про</w:t>
      </w:r>
      <w:r w:rsidR="00556000" w:rsidRPr="00B23C99">
        <w:rPr>
          <w:sz w:val="28"/>
          <w:szCs w:val="28"/>
          <w:lang w:val="uk-UA"/>
        </w:rPr>
        <w:t>є</w:t>
      </w:r>
      <w:r w:rsidRPr="00B23C99">
        <w:rPr>
          <w:sz w:val="28"/>
          <w:szCs w:val="28"/>
          <w:lang w:val="uk-UA"/>
        </w:rPr>
        <w:t xml:space="preserve">кту до </w:t>
      </w:r>
      <w:r w:rsidR="00AF085B" w:rsidRPr="00B23C99">
        <w:rPr>
          <w:sz w:val="28"/>
          <w:szCs w:val="28"/>
          <w:lang w:val="uk-UA"/>
        </w:rPr>
        <w:t>Є</w:t>
      </w:r>
      <w:r w:rsidRPr="00B23C99">
        <w:rPr>
          <w:sz w:val="28"/>
          <w:szCs w:val="28"/>
          <w:lang w:val="uk-UA"/>
        </w:rPr>
        <w:t>диного про</w:t>
      </w:r>
      <w:r w:rsidR="00B06D3B" w:rsidRPr="00B23C99">
        <w:rPr>
          <w:sz w:val="28"/>
          <w:szCs w:val="28"/>
          <w:lang w:val="uk-UA"/>
        </w:rPr>
        <w:t>є</w:t>
      </w:r>
      <w:r w:rsidRPr="00B23C99">
        <w:rPr>
          <w:sz w:val="28"/>
          <w:szCs w:val="28"/>
          <w:lang w:val="uk-UA"/>
        </w:rPr>
        <w:t>ктного портфеля публічних інвестицій держави.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29" w:name="n414"/>
      <w:bookmarkEnd w:id="29"/>
      <w:r w:rsidRPr="005A1336">
        <w:rPr>
          <w:sz w:val="28"/>
          <w:szCs w:val="28"/>
          <w:lang w:val="uk-UA"/>
        </w:rPr>
        <w:t>11. У разі коли про</w:t>
      </w:r>
      <w:r w:rsidR="00B06D3B" w:rsidRPr="005A1336">
        <w:rPr>
          <w:sz w:val="28"/>
          <w:szCs w:val="28"/>
          <w:lang w:val="uk-UA"/>
        </w:rPr>
        <w:t>є</w:t>
      </w:r>
      <w:r w:rsidRPr="005A1336">
        <w:rPr>
          <w:sz w:val="28"/>
          <w:szCs w:val="28"/>
          <w:lang w:val="uk-UA"/>
        </w:rPr>
        <w:t xml:space="preserve">кт, прогнозована загальна вартість якого перевищує 50 млн. гривень, включено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9F2D04" w:rsidRPr="005A1336">
        <w:rPr>
          <w:sz w:val="28"/>
          <w:szCs w:val="28"/>
          <w:lang w:val="uk-UA"/>
        </w:rPr>
        <w:t xml:space="preserve">Сумської міської </w:t>
      </w:r>
      <w:r w:rsidRPr="005A1336">
        <w:rPr>
          <w:sz w:val="28"/>
          <w:szCs w:val="28"/>
          <w:lang w:val="uk-UA"/>
        </w:rPr>
        <w:t>територіальної громади та який потребує фінансування з державного бюджету для підготовки інвестиційного техніко-економічного обґрунтування, такий про</w:t>
      </w:r>
      <w:r w:rsidR="00B06D3B" w:rsidRPr="005A1336">
        <w:rPr>
          <w:sz w:val="28"/>
          <w:szCs w:val="28"/>
          <w:lang w:val="uk-UA"/>
        </w:rPr>
        <w:t>є</w:t>
      </w:r>
      <w:r w:rsidRPr="005A1336">
        <w:rPr>
          <w:sz w:val="28"/>
          <w:szCs w:val="28"/>
          <w:lang w:val="uk-UA"/>
        </w:rPr>
        <w:t>кт підлягає оцінці відповідно до Порядку оцінки для подальшого включення до галузевого (секторального) про</w:t>
      </w:r>
      <w:r w:rsidR="00B06D3B" w:rsidRPr="005A1336">
        <w:rPr>
          <w:sz w:val="28"/>
          <w:szCs w:val="28"/>
          <w:lang w:val="uk-UA"/>
        </w:rPr>
        <w:t>є</w:t>
      </w:r>
      <w:r w:rsidRPr="005A1336">
        <w:rPr>
          <w:sz w:val="28"/>
          <w:szCs w:val="28"/>
          <w:lang w:val="uk-UA"/>
        </w:rPr>
        <w:t>ктного портфеля держави.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30" w:name="n415"/>
      <w:bookmarkEnd w:id="30"/>
      <w:r w:rsidRPr="005A1336">
        <w:rPr>
          <w:sz w:val="28"/>
          <w:szCs w:val="28"/>
          <w:lang w:val="uk-UA"/>
        </w:rPr>
        <w:t>12. Про</w:t>
      </w:r>
      <w:r w:rsidR="00B06D3B" w:rsidRPr="005A1336">
        <w:rPr>
          <w:sz w:val="28"/>
          <w:szCs w:val="28"/>
          <w:lang w:val="uk-UA"/>
        </w:rPr>
        <w:t>є</w:t>
      </w:r>
      <w:r w:rsidRPr="005A1336">
        <w:rPr>
          <w:sz w:val="28"/>
          <w:szCs w:val="28"/>
          <w:lang w:val="uk-UA"/>
        </w:rPr>
        <w:t>кт, який включено до галузевого (секторального) про</w:t>
      </w:r>
      <w:r w:rsidR="00B06D3B" w:rsidRPr="005A1336">
        <w:rPr>
          <w:sz w:val="28"/>
          <w:szCs w:val="28"/>
          <w:lang w:val="uk-UA"/>
        </w:rPr>
        <w:t>є</w:t>
      </w:r>
      <w:r w:rsidRPr="005A1336">
        <w:rPr>
          <w:sz w:val="28"/>
          <w:szCs w:val="28"/>
          <w:lang w:val="uk-UA"/>
        </w:rPr>
        <w:t xml:space="preserve">ктного портфеля </w:t>
      </w:r>
      <w:r w:rsidR="009F2D04" w:rsidRPr="005A1336">
        <w:rPr>
          <w:sz w:val="28"/>
          <w:szCs w:val="28"/>
          <w:lang w:val="uk-UA"/>
        </w:rPr>
        <w:t>Сумської міської</w:t>
      </w:r>
      <w:r w:rsidRPr="005A1336">
        <w:rPr>
          <w:sz w:val="28"/>
          <w:szCs w:val="28"/>
          <w:lang w:val="uk-UA"/>
        </w:rPr>
        <w:t xml:space="preserve"> територіальної громади, за результатами проведення експертної оцінки відповідного рівня згідно з Порядком оцінки може бути включеним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65264F" w:rsidRPr="005A1336">
        <w:rPr>
          <w:sz w:val="28"/>
          <w:szCs w:val="28"/>
          <w:lang w:val="uk-UA"/>
        </w:rPr>
        <w:t xml:space="preserve">Сумської міської </w:t>
      </w:r>
      <w:r w:rsidRPr="005A1336">
        <w:rPr>
          <w:sz w:val="28"/>
          <w:szCs w:val="28"/>
          <w:lang w:val="uk-UA"/>
        </w:rPr>
        <w:t xml:space="preserve">територіальної громади за рішенням </w:t>
      </w:r>
      <w:r w:rsidR="0065264F" w:rsidRPr="005A1336">
        <w:rPr>
          <w:sz w:val="28"/>
          <w:szCs w:val="28"/>
          <w:lang w:val="uk-UA"/>
        </w:rPr>
        <w:t>І</w:t>
      </w:r>
      <w:r w:rsidRPr="005A1336">
        <w:rPr>
          <w:sz w:val="28"/>
          <w:szCs w:val="28"/>
          <w:lang w:val="uk-UA"/>
        </w:rPr>
        <w:t xml:space="preserve">нвестиційної ради </w:t>
      </w:r>
      <w:r w:rsidR="0065264F" w:rsidRPr="005A1336">
        <w:rPr>
          <w:sz w:val="28"/>
          <w:szCs w:val="28"/>
          <w:lang w:val="uk-UA"/>
        </w:rPr>
        <w:t>Сумської міської територіальної громади.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31" w:name="n369"/>
      <w:bookmarkEnd w:id="31"/>
      <w:r w:rsidRPr="005A1336">
        <w:rPr>
          <w:sz w:val="28"/>
          <w:szCs w:val="28"/>
          <w:lang w:val="uk-UA"/>
        </w:rPr>
        <w:t>Публічний інвестиційний про</w:t>
      </w:r>
      <w:r w:rsidR="00556000" w:rsidRPr="005A1336">
        <w:rPr>
          <w:sz w:val="28"/>
          <w:szCs w:val="28"/>
          <w:lang w:val="uk-UA"/>
        </w:rPr>
        <w:t>є</w:t>
      </w:r>
      <w:r w:rsidRPr="005A1336">
        <w:rPr>
          <w:sz w:val="28"/>
          <w:szCs w:val="28"/>
          <w:lang w:val="uk-UA"/>
        </w:rPr>
        <w:t xml:space="preserve">кт підлягає уточненню, а саме коригуванню інвестиційного техніко-економічного обґрунтування, у випадках, визначених </w:t>
      </w:r>
      <w:r w:rsidR="007E3E12" w:rsidRPr="005A1336">
        <w:rPr>
          <w:sz w:val="28"/>
          <w:szCs w:val="28"/>
          <w:lang w:val="uk-UA"/>
        </w:rPr>
        <w:t>у пункті 5</w:t>
      </w:r>
      <w:r w:rsidR="007E3E12" w:rsidRPr="005A1336">
        <w:rPr>
          <w:lang w:val="uk-UA"/>
        </w:rPr>
        <w:t xml:space="preserve"> </w:t>
      </w:r>
      <w:r w:rsidRPr="005A1336">
        <w:rPr>
          <w:sz w:val="28"/>
          <w:szCs w:val="28"/>
          <w:lang w:val="uk-UA"/>
        </w:rPr>
        <w:t xml:space="preserve">Порядку </w:t>
      </w:r>
      <w:r w:rsidR="00485AD0" w:rsidRPr="00485AD0">
        <w:rPr>
          <w:sz w:val="28"/>
          <w:szCs w:val="28"/>
          <w:lang w:val="uk-UA"/>
        </w:rPr>
        <w:t xml:space="preserve">реалізації публічних інвестиційних проєктів та програм </w:t>
      </w:r>
      <w:r w:rsidR="00485AD0" w:rsidRPr="00485AD0">
        <w:rPr>
          <w:sz w:val="28"/>
          <w:szCs w:val="28"/>
          <w:lang w:val="uk-UA"/>
        </w:rPr>
        <w:lastRenderedPageBreak/>
        <w:t>публічних інвестицій Сумської міської територіальної громади</w:t>
      </w:r>
      <w:r w:rsidR="00485AD0">
        <w:rPr>
          <w:sz w:val="28"/>
          <w:szCs w:val="28"/>
          <w:lang w:val="uk-UA"/>
        </w:rPr>
        <w:t xml:space="preserve"> (далі – Порядок реалізації)</w:t>
      </w:r>
      <w:r w:rsidRPr="005A1336">
        <w:rPr>
          <w:sz w:val="28"/>
          <w:szCs w:val="28"/>
          <w:lang w:val="uk-UA"/>
        </w:rPr>
        <w:t>.</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32" w:name="n416"/>
      <w:bookmarkEnd w:id="32"/>
      <w:r w:rsidRPr="005A1336">
        <w:rPr>
          <w:sz w:val="28"/>
          <w:szCs w:val="28"/>
          <w:lang w:val="uk-UA"/>
        </w:rPr>
        <w:t xml:space="preserve">13. Підготовка програми </w:t>
      </w:r>
      <w:r w:rsidR="00E56B71">
        <w:rPr>
          <w:sz w:val="28"/>
          <w:szCs w:val="28"/>
          <w:lang w:val="uk-UA"/>
        </w:rPr>
        <w:t>публічних інвестицій Сумської міської територіальної громади</w:t>
      </w:r>
      <w:r w:rsidRPr="005A1336">
        <w:rPr>
          <w:sz w:val="28"/>
          <w:szCs w:val="28"/>
          <w:lang w:val="uk-UA"/>
        </w:rPr>
        <w:t xml:space="preserve"> здійснюється ініціатором програми в електронній формі за допомогою Єдиної інформаційної системи шляхом внесення інформації за результатами опрацювання стратегічного, економічного, фінансового та управлінського обґрунтувань:</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33" w:name="n417"/>
      <w:bookmarkEnd w:id="33"/>
      <w:r w:rsidRPr="005A1336">
        <w:rPr>
          <w:sz w:val="28"/>
          <w:szCs w:val="28"/>
          <w:lang w:val="uk-UA"/>
        </w:rPr>
        <w:t>1</w:t>
      </w:r>
      <w:r w:rsidRPr="005A1336">
        <w:rPr>
          <w:i/>
          <w:sz w:val="28"/>
          <w:szCs w:val="28"/>
          <w:lang w:val="uk-UA"/>
        </w:rPr>
        <w:t>) стратегічного обґрунтування, що включає</w:t>
      </w:r>
      <w:r w:rsidRPr="005A1336">
        <w:rPr>
          <w:sz w:val="28"/>
          <w:szCs w:val="28"/>
          <w:lang w:val="uk-UA"/>
        </w:rPr>
        <w:t>:</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34" w:name="n372"/>
      <w:bookmarkEnd w:id="34"/>
      <w:r w:rsidRPr="005A1336">
        <w:rPr>
          <w:sz w:val="28"/>
          <w:szCs w:val="28"/>
          <w:lang w:val="uk-UA"/>
        </w:rPr>
        <w:t>визначення напряму публічного інвестування у відповідній галузі (секторі), з яким пов’язана програма;</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35" w:name="n373"/>
      <w:bookmarkEnd w:id="35"/>
      <w:r w:rsidRPr="005A1336">
        <w:rPr>
          <w:sz w:val="28"/>
          <w:szCs w:val="28"/>
          <w:lang w:val="uk-UA"/>
        </w:rPr>
        <w:t>визначення мети програми, яка повинна узгоджуватися з напрямом публічного інвестування у відповідній галузі (секторі);</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36" w:name="n374"/>
      <w:bookmarkEnd w:id="36"/>
      <w:r w:rsidRPr="005A1336">
        <w:rPr>
          <w:sz w:val="28"/>
          <w:szCs w:val="28"/>
          <w:lang w:val="uk-UA"/>
        </w:rPr>
        <w:t>формування цілей програми, які відповідають цільовим показникам напряму публічного інвестування у відповідній галузі (секторі);</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37" w:name="n375"/>
      <w:bookmarkEnd w:id="37"/>
      <w:r w:rsidRPr="005A1336">
        <w:rPr>
          <w:sz w:val="28"/>
          <w:szCs w:val="28"/>
          <w:lang w:val="uk-UA"/>
        </w:rPr>
        <w:t>опис проблеми (потреби) та її параметрів, а також обґрунтування необхідності розв’язання цієї проблеми (потреби) шляхом реалізації програми;</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38" w:name="n376"/>
      <w:bookmarkEnd w:id="38"/>
      <w:r w:rsidRPr="005A1336">
        <w:rPr>
          <w:sz w:val="28"/>
          <w:szCs w:val="28"/>
          <w:lang w:val="uk-UA"/>
        </w:rPr>
        <w:t>забезпечення відповідності програми наскрізним стратегічним цілям здійснення публічних інвестицій;</w:t>
      </w:r>
    </w:p>
    <w:p w:rsidR="004568B8" w:rsidRPr="005A1336" w:rsidRDefault="004568B8" w:rsidP="005D0FDF">
      <w:pPr>
        <w:pStyle w:val="rvps2"/>
        <w:shd w:val="clear" w:color="auto" w:fill="FFFFFF"/>
        <w:spacing w:before="0" w:beforeAutospacing="0" w:after="240" w:afterAutospacing="0"/>
        <w:ind w:firstLine="567"/>
        <w:jc w:val="both"/>
        <w:rPr>
          <w:sz w:val="28"/>
          <w:szCs w:val="28"/>
          <w:lang w:val="uk-UA"/>
        </w:rPr>
      </w:pPr>
      <w:bookmarkStart w:id="39" w:name="n377"/>
      <w:bookmarkEnd w:id="39"/>
      <w:r w:rsidRPr="005A1336">
        <w:rPr>
          <w:sz w:val="28"/>
          <w:szCs w:val="28"/>
          <w:lang w:val="uk-UA"/>
        </w:rPr>
        <w:t>забезпечення відповідності цілям сталого розвитку;</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40" w:name="n418"/>
      <w:bookmarkEnd w:id="40"/>
      <w:r w:rsidRPr="005A1336">
        <w:rPr>
          <w:sz w:val="28"/>
          <w:szCs w:val="28"/>
          <w:lang w:val="uk-UA"/>
        </w:rPr>
        <w:t xml:space="preserve">2) </w:t>
      </w:r>
      <w:r w:rsidRPr="005A1336">
        <w:rPr>
          <w:i/>
          <w:sz w:val="28"/>
          <w:szCs w:val="28"/>
          <w:lang w:val="uk-UA"/>
        </w:rPr>
        <w:t>економічного обґрунтування, що включає</w:t>
      </w:r>
      <w:r w:rsidRPr="005A1336">
        <w:rPr>
          <w:sz w:val="28"/>
          <w:szCs w:val="28"/>
          <w:lang w:val="uk-UA"/>
        </w:rPr>
        <w:t>:</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41" w:name="n379"/>
      <w:bookmarkEnd w:id="41"/>
      <w:r w:rsidRPr="005A1336">
        <w:rPr>
          <w:sz w:val="28"/>
          <w:szCs w:val="28"/>
          <w:lang w:val="uk-UA"/>
        </w:rPr>
        <w:t>аналіз економічної доцільності програми;</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42" w:name="n380"/>
      <w:bookmarkEnd w:id="42"/>
      <w:r w:rsidRPr="005A1336">
        <w:rPr>
          <w:sz w:val="28"/>
          <w:szCs w:val="28"/>
          <w:lang w:val="uk-UA"/>
        </w:rPr>
        <w:t>визначення компонентів (напрямів фінансування) програми;</w:t>
      </w:r>
    </w:p>
    <w:p w:rsidR="004568B8" w:rsidRPr="005A1336" w:rsidRDefault="004568B8" w:rsidP="005D0FDF">
      <w:pPr>
        <w:pStyle w:val="rvps2"/>
        <w:shd w:val="clear" w:color="auto" w:fill="FFFFFF"/>
        <w:spacing w:before="0" w:beforeAutospacing="0" w:after="240" w:afterAutospacing="0"/>
        <w:ind w:firstLine="567"/>
        <w:jc w:val="both"/>
        <w:rPr>
          <w:sz w:val="28"/>
          <w:szCs w:val="28"/>
          <w:lang w:val="uk-UA"/>
        </w:rPr>
      </w:pPr>
      <w:bookmarkStart w:id="43" w:name="n381"/>
      <w:bookmarkEnd w:id="43"/>
      <w:r w:rsidRPr="005A1336">
        <w:rPr>
          <w:sz w:val="28"/>
          <w:szCs w:val="28"/>
          <w:lang w:val="uk-UA"/>
        </w:rPr>
        <w:t>визначення потенційних ризиків, пов’язаних із реалізацією програми (включаючи економічні, екологічні, соціальні тощо);</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44" w:name="n419"/>
      <w:bookmarkEnd w:id="44"/>
      <w:r w:rsidRPr="005A1336">
        <w:rPr>
          <w:sz w:val="28"/>
          <w:szCs w:val="28"/>
          <w:lang w:val="uk-UA"/>
        </w:rPr>
        <w:t xml:space="preserve">3) </w:t>
      </w:r>
      <w:r w:rsidRPr="005A1336">
        <w:rPr>
          <w:i/>
          <w:sz w:val="28"/>
          <w:szCs w:val="28"/>
          <w:lang w:val="uk-UA"/>
        </w:rPr>
        <w:t>фінансового обґрунтування, що включає</w:t>
      </w:r>
      <w:r w:rsidRPr="005A1336">
        <w:rPr>
          <w:sz w:val="28"/>
          <w:szCs w:val="28"/>
          <w:lang w:val="uk-UA"/>
        </w:rPr>
        <w:t>:</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45" w:name="n383"/>
      <w:bookmarkEnd w:id="45"/>
      <w:r w:rsidRPr="005A1336">
        <w:rPr>
          <w:sz w:val="28"/>
          <w:szCs w:val="28"/>
          <w:lang w:val="uk-UA"/>
        </w:rPr>
        <w:t>визначення обсягів фінансування програми;</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46" w:name="n384"/>
      <w:bookmarkEnd w:id="46"/>
      <w:r w:rsidRPr="005A1336">
        <w:rPr>
          <w:sz w:val="28"/>
          <w:szCs w:val="28"/>
          <w:lang w:val="uk-UA"/>
        </w:rPr>
        <w:t>проведення фінансово-економічних розрахунків для обґрунтування прогнозованої вартості програми;</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47" w:name="n385"/>
      <w:bookmarkEnd w:id="47"/>
      <w:r w:rsidRPr="005A1336">
        <w:rPr>
          <w:sz w:val="28"/>
          <w:szCs w:val="28"/>
          <w:lang w:val="uk-UA"/>
        </w:rPr>
        <w:t>визначення можливих механізмів фінансового забезпечення та потенційних джерел фінансування програми;</w:t>
      </w:r>
    </w:p>
    <w:p w:rsidR="004568B8" w:rsidRPr="005A1336" w:rsidRDefault="004568B8" w:rsidP="005D0FDF">
      <w:pPr>
        <w:pStyle w:val="rvps2"/>
        <w:shd w:val="clear" w:color="auto" w:fill="FFFFFF"/>
        <w:spacing w:before="0" w:beforeAutospacing="0" w:after="240" w:afterAutospacing="0"/>
        <w:ind w:firstLine="567"/>
        <w:jc w:val="both"/>
        <w:rPr>
          <w:sz w:val="28"/>
          <w:szCs w:val="28"/>
          <w:lang w:val="uk-UA"/>
        </w:rPr>
      </w:pPr>
      <w:bookmarkStart w:id="48" w:name="n386"/>
      <w:bookmarkEnd w:id="48"/>
      <w:r w:rsidRPr="005A1336">
        <w:rPr>
          <w:sz w:val="28"/>
          <w:szCs w:val="28"/>
          <w:lang w:val="uk-UA"/>
        </w:rPr>
        <w:t>визначення ризиків, пов’язаних із фінансуванням програми;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49" w:name="n420"/>
      <w:bookmarkEnd w:id="49"/>
      <w:r w:rsidRPr="005A1336">
        <w:rPr>
          <w:sz w:val="28"/>
          <w:szCs w:val="28"/>
          <w:lang w:val="uk-UA"/>
        </w:rPr>
        <w:t xml:space="preserve">4) </w:t>
      </w:r>
      <w:r w:rsidRPr="005A1336">
        <w:rPr>
          <w:i/>
          <w:sz w:val="28"/>
          <w:szCs w:val="28"/>
          <w:lang w:val="uk-UA"/>
        </w:rPr>
        <w:t>управлінського обґрунтування, що включає</w:t>
      </w:r>
      <w:r w:rsidRPr="005A1336">
        <w:rPr>
          <w:sz w:val="28"/>
          <w:szCs w:val="28"/>
          <w:lang w:val="uk-UA"/>
        </w:rPr>
        <w:t>:</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50" w:name="n388"/>
      <w:bookmarkEnd w:id="50"/>
      <w:r w:rsidRPr="005A1336">
        <w:rPr>
          <w:sz w:val="28"/>
          <w:szCs w:val="28"/>
          <w:lang w:val="uk-UA"/>
        </w:rPr>
        <w:t>формуван</w:t>
      </w:r>
      <w:r w:rsidR="00556000" w:rsidRPr="005A1336">
        <w:rPr>
          <w:sz w:val="28"/>
          <w:szCs w:val="28"/>
          <w:lang w:val="uk-UA"/>
        </w:rPr>
        <w:t>ня критеріїв щодо включення проє</w:t>
      </w:r>
      <w:r w:rsidRPr="005A1336">
        <w:rPr>
          <w:sz w:val="28"/>
          <w:szCs w:val="28"/>
          <w:lang w:val="uk-UA"/>
        </w:rPr>
        <w:t>ктів у програму та їх пріоритезації;</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51" w:name="n389"/>
      <w:bookmarkEnd w:id="51"/>
      <w:r w:rsidRPr="005A1336">
        <w:rPr>
          <w:sz w:val="28"/>
          <w:szCs w:val="28"/>
          <w:lang w:val="uk-UA"/>
        </w:rPr>
        <w:t>аналіз наявності або відсутності у Єдиній інформаційній системі про</w:t>
      </w:r>
      <w:r w:rsidR="00556000" w:rsidRPr="005A1336">
        <w:rPr>
          <w:sz w:val="28"/>
          <w:szCs w:val="28"/>
          <w:lang w:val="uk-UA"/>
        </w:rPr>
        <w:t>є</w:t>
      </w:r>
      <w:r w:rsidRPr="005A1336">
        <w:rPr>
          <w:sz w:val="28"/>
          <w:szCs w:val="28"/>
          <w:lang w:val="uk-UA"/>
        </w:rPr>
        <w:t>ктів, що відповідають напряму публічного інвестування у відповідній галузі (секторі) та можуть бути включені до програми;</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52" w:name="n390"/>
      <w:bookmarkEnd w:id="52"/>
      <w:r w:rsidRPr="005A1336">
        <w:rPr>
          <w:sz w:val="28"/>
          <w:szCs w:val="28"/>
          <w:lang w:val="uk-UA"/>
        </w:rPr>
        <w:lastRenderedPageBreak/>
        <w:t>розроблення плану реалізації програми з визначенням строків та послідовності дій;</w:t>
      </w:r>
    </w:p>
    <w:p w:rsidR="00C665E7" w:rsidRDefault="004568B8" w:rsidP="00D210E0">
      <w:pPr>
        <w:pStyle w:val="rvps2"/>
        <w:shd w:val="clear" w:color="auto" w:fill="FFFFFF"/>
        <w:spacing w:before="0" w:beforeAutospacing="0" w:after="240" w:afterAutospacing="0"/>
        <w:ind w:firstLine="567"/>
        <w:jc w:val="both"/>
        <w:rPr>
          <w:sz w:val="28"/>
          <w:szCs w:val="28"/>
          <w:lang w:val="uk-UA"/>
        </w:rPr>
      </w:pPr>
      <w:bookmarkStart w:id="53" w:name="n391"/>
      <w:bookmarkEnd w:id="53"/>
      <w:r w:rsidRPr="005A1336">
        <w:rPr>
          <w:sz w:val="28"/>
          <w:szCs w:val="28"/>
          <w:lang w:val="uk-UA"/>
        </w:rPr>
        <w:t>визначення управлінських ризиків, пов’язаних з реалізацією програми;</w:t>
      </w:r>
      <w:bookmarkStart w:id="54" w:name="n392"/>
      <w:bookmarkEnd w:id="54"/>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r w:rsidRPr="005A1336">
        <w:rPr>
          <w:sz w:val="28"/>
          <w:szCs w:val="28"/>
          <w:lang w:val="uk-UA"/>
        </w:rPr>
        <w:t>додаткову інформацію, що включає:</w:t>
      </w:r>
    </w:p>
    <w:p w:rsidR="004568B8" w:rsidRPr="005A1336" w:rsidRDefault="004568B8" w:rsidP="005D0FDF">
      <w:pPr>
        <w:pStyle w:val="rvps2"/>
        <w:shd w:val="clear" w:color="auto" w:fill="FFFFFF"/>
        <w:spacing w:before="0" w:beforeAutospacing="0" w:after="0" w:afterAutospacing="0"/>
        <w:ind w:firstLine="567"/>
        <w:jc w:val="both"/>
        <w:rPr>
          <w:sz w:val="28"/>
          <w:szCs w:val="28"/>
          <w:lang w:val="uk-UA"/>
        </w:rPr>
      </w:pPr>
      <w:bookmarkStart w:id="55" w:name="n393"/>
      <w:bookmarkEnd w:id="55"/>
      <w:r w:rsidRPr="005A1336">
        <w:rPr>
          <w:sz w:val="28"/>
          <w:szCs w:val="28"/>
          <w:lang w:val="uk-UA"/>
        </w:rPr>
        <w:t>інформацію щодо потреби у залученні програм для підготовки про</w:t>
      </w:r>
      <w:r w:rsidR="00556000" w:rsidRPr="005A1336">
        <w:rPr>
          <w:sz w:val="28"/>
          <w:szCs w:val="28"/>
          <w:lang w:val="uk-UA"/>
        </w:rPr>
        <w:t>є</w:t>
      </w:r>
      <w:r w:rsidRPr="005A1336">
        <w:rPr>
          <w:sz w:val="28"/>
          <w:szCs w:val="28"/>
          <w:lang w:val="uk-UA"/>
        </w:rPr>
        <w:t>ктів з метою підготовки програми до стадії реалізації;</w:t>
      </w:r>
    </w:p>
    <w:p w:rsidR="004568B8" w:rsidRPr="005A1336" w:rsidRDefault="004568B8" w:rsidP="005D0FDF">
      <w:pPr>
        <w:pStyle w:val="rvps2"/>
        <w:shd w:val="clear" w:color="auto" w:fill="FFFFFF"/>
        <w:spacing w:before="0" w:beforeAutospacing="0" w:after="240" w:afterAutospacing="0"/>
        <w:ind w:firstLine="567"/>
        <w:jc w:val="both"/>
        <w:rPr>
          <w:sz w:val="28"/>
          <w:szCs w:val="28"/>
          <w:lang w:val="uk-UA"/>
        </w:rPr>
      </w:pPr>
      <w:bookmarkStart w:id="56" w:name="n394"/>
      <w:bookmarkEnd w:id="56"/>
      <w:r w:rsidRPr="005A1336">
        <w:rPr>
          <w:sz w:val="28"/>
          <w:szCs w:val="28"/>
          <w:lang w:val="uk-UA"/>
        </w:rPr>
        <w:t>інформацію щодо виду допомоги з підготовки програми, яка може бути надана програмами для підготовки про</w:t>
      </w:r>
      <w:r w:rsidR="00556000" w:rsidRPr="005A1336">
        <w:rPr>
          <w:sz w:val="28"/>
          <w:szCs w:val="28"/>
          <w:lang w:val="uk-UA"/>
        </w:rPr>
        <w:t>є</w:t>
      </w:r>
      <w:r w:rsidRPr="005A1336">
        <w:rPr>
          <w:sz w:val="28"/>
          <w:szCs w:val="28"/>
          <w:lang w:val="uk-UA"/>
        </w:rPr>
        <w:t>ктів.</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57" w:name="n421"/>
      <w:bookmarkEnd w:id="57"/>
      <w:r w:rsidRPr="005A1336">
        <w:rPr>
          <w:sz w:val="28"/>
          <w:szCs w:val="28"/>
          <w:lang w:val="uk-UA"/>
        </w:rPr>
        <w:t>14. Ініціатор програми з дня завершення внесення до Єдиної інформаційної системи інформації про програму забезпечує погодження та подання такої програми для проведення галузевої (секторальної) оцінки та включення до галузевого (секторального) про</w:t>
      </w:r>
      <w:r w:rsidR="00556000" w:rsidRPr="005A1336">
        <w:rPr>
          <w:sz w:val="28"/>
          <w:szCs w:val="28"/>
          <w:lang w:val="uk-UA"/>
        </w:rPr>
        <w:t>є</w:t>
      </w:r>
      <w:r w:rsidRPr="005A1336">
        <w:rPr>
          <w:sz w:val="28"/>
          <w:szCs w:val="28"/>
          <w:lang w:val="uk-UA"/>
        </w:rPr>
        <w:t xml:space="preserve">ктного портфеля </w:t>
      </w:r>
      <w:r w:rsidR="007E3E12" w:rsidRPr="005A1336">
        <w:rPr>
          <w:sz w:val="28"/>
          <w:szCs w:val="28"/>
          <w:lang w:val="uk-UA"/>
        </w:rPr>
        <w:t xml:space="preserve">Сумської міської </w:t>
      </w:r>
      <w:r w:rsidRPr="005A1336">
        <w:rPr>
          <w:sz w:val="28"/>
          <w:szCs w:val="28"/>
          <w:lang w:val="uk-UA"/>
        </w:rPr>
        <w:t>територіальної громади відповідно до Порядку оцінки та Порядку формування про</w:t>
      </w:r>
      <w:r w:rsidR="00556000" w:rsidRPr="005A1336">
        <w:rPr>
          <w:sz w:val="28"/>
          <w:szCs w:val="28"/>
          <w:lang w:val="uk-UA"/>
        </w:rPr>
        <w:t>є</w:t>
      </w:r>
      <w:r w:rsidRPr="005A1336">
        <w:rPr>
          <w:sz w:val="28"/>
          <w:szCs w:val="28"/>
          <w:lang w:val="uk-UA"/>
        </w:rPr>
        <w:t>ктних портфелів.</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58" w:name="n422"/>
      <w:bookmarkEnd w:id="58"/>
      <w:r w:rsidRPr="005A1336">
        <w:rPr>
          <w:sz w:val="28"/>
          <w:szCs w:val="28"/>
          <w:lang w:val="uk-UA"/>
        </w:rPr>
        <w:t xml:space="preserve">15. Виключно ті програми, що включені до </w:t>
      </w:r>
      <w:r w:rsidR="00AF085B" w:rsidRPr="005A1336">
        <w:rPr>
          <w:sz w:val="28"/>
          <w:szCs w:val="28"/>
          <w:lang w:val="uk-UA"/>
        </w:rPr>
        <w:t>Є</w:t>
      </w:r>
      <w:r w:rsidRPr="005A1336">
        <w:rPr>
          <w:sz w:val="28"/>
          <w:szCs w:val="28"/>
          <w:lang w:val="uk-UA"/>
        </w:rPr>
        <w:t>диного про</w:t>
      </w:r>
      <w:r w:rsidR="00B06D3B" w:rsidRPr="005A1336">
        <w:rPr>
          <w:sz w:val="28"/>
          <w:szCs w:val="28"/>
          <w:lang w:val="uk-UA"/>
        </w:rPr>
        <w:t>є</w:t>
      </w:r>
      <w:r w:rsidRPr="005A1336">
        <w:rPr>
          <w:sz w:val="28"/>
          <w:szCs w:val="28"/>
          <w:lang w:val="uk-UA"/>
        </w:rPr>
        <w:t>ктного портфеля публічних ін</w:t>
      </w:r>
      <w:r w:rsidR="007E3E12" w:rsidRPr="005A1336">
        <w:rPr>
          <w:sz w:val="28"/>
          <w:szCs w:val="28"/>
          <w:lang w:val="uk-UA"/>
        </w:rPr>
        <w:t xml:space="preserve">вестицій Сумської міської територіальної громади </w:t>
      </w:r>
      <w:r w:rsidRPr="005A1336">
        <w:rPr>
          <w:sz w:val="28"/>
          <w:szCs w:val="28"/>
          <w:lang w:val="uk-UA"/>
        </w:rPr>
        <w:t xml:space="preserve">можуть мати доступ до фінансового забезпечення їх реалізації за рахунок коштів бюджету </w:t>
      </w:r>
      <w:r w:rsidR="00E56B71" w:rsidRPr="005A1336">
        <w:rPr>
          <w:sz w:val="28"/>
          <w:szCs w:val="28"/>
          <w:lang w:val="uk-UA"/>
        </w:rPr>
        <w:t xml:space="preserve">Сумської міської територіальної громади </w:t>
      </w:r>
      <w:r w:rsidRPr="005A1336">
        <w:rPr>
          <w:sz w:val="28"/>
          <w:szCs w:val="28"/>
          <w:lang w:val="uk-UA"/>
        </w:rPr>
        <w:t>та/або за рахунок запозичень, отриманих під місцеві гарантії, державного бюджету та/або надання державної підтримки.</w:t>
      </w:r>
    </w:p>
    <w:p w:rsidR="004568B8" w:rsidRPr="005A1336" w:rsidRDefault="004568B8" w:rsidP="005D0FDF">
      <w:pPr>
        <w:pStyle w:val="rvps2"/>
        <w:shd w:val="clear" w:color="auto" w:fill="FFFFFF"/>
        <w:spacing w:before="0" w:beforeAutospacing="0" w:after="150" w:afterAutospacing="0"/>
        <w:ind w:firstLine="567"/>
        <w:jc w:val="both"/>
        <w:rPr>
          <w:sz w:val="28"/>
          <w:szCs w:val="28"/>
          <w:lang w:val="uk-UA"/>
        </w:rPr>
      </w:pPr>
      <w:bookmarkStart w:id="59" w:name="n423"/>
      <w:bookmarkEnd w:id="59"/>
      <w:r w:rsidRPr="005A1336">
        <w:rPr>
          <w:sz w:val="28"/>
          <w:szCs w:val="28"/>
          <w:lang w:val="uk-UA"/>
        </w:rPr>
        <w:t xml:space="preserve">16. Програми </w:t>
      </w:r>
      <w:r w:rsidR="00E56B71" w:rsidRPr="00E56B71">
        <w:rPr>
          <w:sz w:val="28"/>
          <w:szCs w:val="28"/>
          <w:lang w:val="uk-UA"/>
        </w:rPr>
        <w:t>публічних інвестицій Сумської міської територіальної громади</w:t>
      </w:r>
      <w:r w:rsidRPr="005A1336">
        <w:rPr>
          <w:sz w:val="28"/>
          <w:szCs w:val="28"/>
          <w:lang w:val="uk-UA"/>
        </w:rPr>
        <w:t>, які не потребують фінансування з державного бюджету у плановому бюджетному періоді та включені до Єдиного про</w:t>
      </w:r>
      <w:r w:rsidR="00B06D3B" w:rsidRPr="005A1336">
        <w:rPr>
          <w:sz w:val="28"/>
          <w:szCs w:val="28"/>
          <w:lang w:val="uk-UA"/>
        </w:rPr>
        <w:t>є</w:t>
      </w:r>
      <w:r w:rsidRPr="005A1336">
        <w:rPr>
          <w:sz w:val="28"/>
          <w:szCs w:val="28"/>
          <w:lang w:val="uk-UA"/>
        </w:rPr>
        <w:t xml:space="preserve">ктного портфеля публічних інвестицій </w:t>
      </w:r>
      <w:r w:rsidR="00FF2A9B" w:rsidRPr="005A1336">
        <w:rPr>
          <w:sz w:val="28"/>
          <w:szCs w:val="28"/>
          <w:lang w:val="uk-UA"/>
        </w:rPr>
        <w:t xml:space="preserve">Сумської міської </w:t>
      </w:r>
      <w:r w:rsidRPr="005A1336">
        <w:rPr>
          <w:sz w:val="28"/>
          <w:szCs w:val="28"/>
          <w:lang w:val="uk-UA"/>
        </w:rPr>
        <w:t>територіальної громади, можуть реалізовуватись у встановленому бюджетним законодавством порядку.</w:t>
      </w:r>
    </w:p>
    <w:p w:rsidR="004568B8" w:rsidRPr="005A1336" w:rsidRDefault="004568B8" w:rsidP="00C665E7">
      <w:pPr>
        <w:pStyle w:val="rvps2"/>
        <w:shd w:val="clear" w:color="auto" w:fill="FFFFFF"/>
        <w:spacing w:before="0" w:beforeAutospacing="0" w:after="150" w:afterAutospacing="0"/>
        <w:ind w:firstLine="567"/>
        <w:jc w:val="both"/>
        <w:rPr>
          <w:sz w:val="28"/>
          <w:szCs w:val="28"/>
          <w:lang w:val="uk-UA"/>
        </w:rPr>
      </w:pPr>
      <w:bookmarkStart w:id="60" w:name="n424"/>
      <w:bookmarkEnd w:id="60"/>
      <w:r w:rsidRPr="005A1336">
        <w:rPr>
          <w:sz w:val="28"/>
          <w:szCs w:val="28"/>
          <w:lang w:val="uk-UA"/>
        </w:rPr>
        <w:t xml:space="preserve">17. </w:t>
      </w:r>
      <w:r w:rsidR="00E56B71">
        <w:rPr>
          <w:sz w:val="28"/>
          <w:szCs w:val="28"/>
          <w:lang w:val="uk-UA"/>
        </w:rPr>
        <w:t>Д</w:t>
      </w:r>
      <w:r w:rsidRPr="005A1336">
        <w:rPr>
          <w:sz w:val="28"/>
          <w:szCs w:val="28"/>
          <w:lang w:val="uk-UA"/>
        </w:rPr>
        <w:t>о програми</w:t>
      </w:r>
      <w:bookmarkStart w:id="61" w:name="n399"/>
      <w:bookmarkEnd w:id="61"/>
      <w:r w:rsidR="002F5BFD" w:rsidRPr="005A1336">
        <w:rPr>
          <w:sz w:val="28"/>
          <w:szCs w:val="28"/>
          <w:lang w:val="uk-UA"/>
        </w:rPr>
        <w:t xml:space="preserve"> </w:t>
      </w:r>
      <w:r w:rsidR="00E56B71" w:rsidRPr="00E56B71">
        <w:rPr>
          <w:sz w:val="28"/>
          <w:szCs w:val="28"/>
          <w:lang w:val="uk-UA"/>
        </w:rPr>
        <w:t xml:space="preserve">публічних інвестицій Сумської міської територіальної громади </w:t>
      </w:r>
      <w:r w:rsidRPr="005A1336">
        <w:rPr>
          <w:sz w:val="28"/>
          <w:szCs w:val="28"/>
          <w:lang w:val="uk-UA"/>
        </w:rPr>
        <w:t>можуть бути включені про</w:t>
      </w:r>
      <w:r w:rsidR="00B06D3B" w:rsidRPr="005A1336">
        <w:rPr>
          <w:sz w:val="28"/>
          <w:szCs w:val="28"/>
          <w:lang w:val="uk-UA"/>
        </w:rPr>
        <w:t>є</w:t>
      </w:r>
      <w:r w:rsidRPr="005A1336">
        <w:rPr>
          <w:sz w:val="28"/>
          <w:szCs w:val="28"/>
          <w:lang w:val="uk-UA"/>
        </w:rPr>
        <w:t>кти, які включені до галузевого (секторального) про</w:t>
      </w:r>
      <w:r w:rsidR="00B06D3B" w:rsidRPr="005A1336">
        <w:rPr>
          <w:sz w:val="28"/>
          <w:szCs w:val="28"/>
          <w:lang w:val="uk-UA"/>
        </w:rPr>
        <w:t>є</w:t>
      </w:r>
      <w:r w:rsidRPr="005A1336">
        <w:rPr>
          <w:sz w:val="28"/>
          <w:szCs w:val="28"/>
          <w:lang w:val="uk-UA"/>
        </w:rPr>
        <w:t xml:space="preserve">ктного портфеля </w:t>
      </w:r>
      <w:r w:rsidR="007E3E12" w:rsidRPr="005A1336">
        <w:rPr>
          <w:sz w:val="28"/>
          <w:szCs w:val="28"/>
          <w:lang w:val="uk-UA"/>
        </w:rPr>
        <w:t xml:space="preserve">Сумської </w:t>
      </w:r>
      <w:r w:rsidRPr="005A1336">
        <w:rPr>
          <w:sz w:val="28"/>
          <w:szCs w:val="28"/>
          <w:lang w:val="uk-UA"/>
        </w:rPr>
        <w:t>територіал</w:t>
      </w:r>
      <w:r w:rsidR="002F5BFD" w:rsidRPr="005A1336">
        <w:rPr>
          <w:sz w:val="28"/>
          <w:szCs w:val="28"/>
          <w:lang w:val="uk-UA"/>
        </w:rPr>
        <w:t>ьної громади.</w:t>
      </w:r>
    </w:p>
    <w:p w:rsidR="004568B8" w:rsidRPr="005A1336" w:rsidRDefault="004568B8" w:rsidP="00C665E7">
      <w:pPr>
        <w:pStyle w:val="rvps2"/>
        <w:shd w:val="clear" w:color="auto" w:fill="FFFFFF"/>
        <w:spacing w:before="0" w:beforeAutospacing="0" w:after="150" w:afterAutospacing="0"/>
        <w:ind w:firstLine="567"/>
        <w:jc w:val="both"/>
        <w:rPr>
          <w:sz w:val="28"/>
          <w:szCs w:val="28"/>
          <w:lang w:val="uk-UA"/>
        </w:rPr>
      </w:pPr>
      <w:bookmarkStart w:id="62" w:name="n400"/>
      <w:bookmarkStart w:id="63" w:name="n402"/>
      <w:bookmarkEnd w:id="62"/>
      <w:bookmarkEnd w:id="63"/>
      <w:r w:rsidRPr="005A1336">
        <w:rPr>
          <w:sz w:val="28"/>
          <w:szCs w:val="28"/>
          <w:lang w:val="uk-UA"/>
        </w:rPr>
        <w:t>Включення про</w:t>
      </w:r>
      <w:r w:rsidR="00B06D3B" w:rsidRPr="005A1336">
        <w:rPr>
          <w:sz w:val="28"/>
          <w:szCs w:val="28"/>
          <w:lang w:val="uk-UA"/>
        </w:rPr>
        <w:t>є</w:t>
      </w:r>
      <w:r w:rsidRPr="005A1336">
        <w:rPr>
          <w:sz w:val="28"/>
          <w:szCs w:val="28"/>
          <w:lang w:val="uk-UA"/>
        </w:rPr>
        <w:t>кту до програми здійснюється за рішенням ініціатора про</w:t>
      </w:r>
      <w:r w:rsidR="00556000" w:rsidRPr="005A1336">
        <w:rPr>
          <w:sz w:val="28"/>
          <w:szCs w:val="28"/>
          <w:lang w:val="uk-UA"/>
        </w:rPr>
        <w:t>є</w:t>
      </w:r>
      <w:r w:rsidRPr="005A1336">
        <w:rPr>
          <w:sz w:val="28"/>
          <w:szCs w:val="28"/>
          <w:lang w:val="uk-UA"/>
        </w:rPr>
        <w:t>кту або ініціатора програми за погодженням з ініціатором про</w:t>
      </w:r>
      <w:r w:rsidR="00B06D3B" w:rsidRPr="005A1336">
        <w:rPr>
          <w:sz w:val="28"/>
          <w:szCs w:val="28"/>
          <w:lang w:val="uk-UA"/>
        </w:rPr>
        <w:t>є</w:t>
      </w:r>
      <w:r w:rsidRPr="005A1336">
        <w:rPr>
          <w:sz w:val="28"/>
          <w:szCs w:val="28"/>
          <w:lang w:val="uk-UA"/>
        </w:rPr>
        <w:t>кту, якщо такий про</w:t>
      </w:r>
      <w:r w:rsidR="00B06D3B" w:rsidRPr="005A1336">
        <w:rPr>
          <w:sz w:val="28"/>
          <w:szCs w:val="28"/>
          <w:lang w:val="uk-UA"/>
        </w:rPr>
        <w:t>є</w:t>
      </w:r>
      <w:r w:rsidRPr="005A1336">
        <w:rPr>
          <w:sz w:val="28"/>
          <w:szCs w:val="28"/>
          <w:lang w:val="uk-UA"/>
        </w:rPr>
        <w:t>кт відповідає цілям програми.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006"/>
      </w:tblGrid>
      <w:tr w:rsidR="00FD4F11" w:rsidTr="00FD4F11">
        <w:tc>
          <w:tcPr>
            <w:tcW w:w="4673" w:type="dxa"/>
          </w:tcPr>
          <w:p w:rsidR="00D210E0" w:rsidRDefault="00D210E0" w:rsidP="00D210E0">
            <w:pPr>
              <w:jc w:val="both"/>
              <w:rPr>
                <w:rFonts w:ascii="Times New Roman" w:eastAsia="Times New Roman" w:hAnsi="Times New Roman" w:cs="Times New Roman"/>
                <w:b/>
                <w:sz w:val="28"/>
                <w:szCs w:val="28"/>
                <w:lang w:val="uk-UA" w:eastAsia="ru-RU"/>
              </w:rPr>
            </w:pPr>
          </w:p>
          <w:p w:rsidR="00D210E0" w:rsidRDefault="00D210E0" w:rsidP="00D210E0">
            <w:pPr>
              <w:jc w:val="both"/>
              <w:rPr>
                <w:rFonts w:ascii="Times New Roman" w:eastAsia="Times New Roman" w:hAnsi="Times New Roman" w:cs="Times New Roman"/>
                <w:b/>
                <w:sz w:val="28"/>
                <w:szCs w:val="28"/>
                <w:lang w:val="uk-UA" w:eastAsia="ru-RU"/>
              </w:rPr>
            </w:pPr>
          </w:p>
          <w:p w:rsidR="00FD4F11" w:rsidRPr="00FD4F11" w:rsidRDefault="00FD4F11" w:rsidP="00D210E0">
            <w:pPr>
              <w:jc w:val="both"/>
              <w:rPr>
                <w:rFonts w:ascii="Times New Roman" w:eastAsia="Times New Roman" w:hAnsi="Times New Roman" w:cs="Times New Roman"/>
                <w:sz w:val="28"/>
                <w:szCs w:val="28"/>
                <w:lang w:val="uk-UA" w:eastAsia="ru-RU"/>
              </w:rPr>
            </w:pPr>
            <w:r w:rsidRPr="006F3B0D">
              <w:rPr>
                <w:rFonts w:ascii="Times New Roman" w:eastAsia="Times New Roman" w:hAnsi="Times New Roman" w:cs="Times New Roman"/>
                <w:b/>
                <w:sz w:val="28"/>
                <w:szCs w:val="28"/>
                <w:lang w:val="uk-UA" w:eastAsia="ru-RU"/>
              </w:rPr>
              <w:t>Начальник управління інвестицій, міжнародної співпраці, охорони довкілля, енергоефективності та кліматичної</w:t>
            </w:r>
            <w:r>
              <w:rPr>
                <w:rFonts w:ascii="Times New Roman" w:eastAsia="Times New Roman" w:hAnsi="Times New Roman" w:cs="Times New Roman"/>
                <w:b/>
                <w:sz w:val="28"/>
                <w:szCs w:val="28"/>
                <w:lang w:val="uk-UA" w:eastAsia="ru-RU"/>
              </w:rPr>
              <w:t xml:space="preserve"> </w:t>
            </w:r>
            <w:r w:rsidRPr="006F3B0D">
              <w:rPr>
                <w:rFonts w:ascii="Times New Roman" w:eastAsia="Times New Roman" w:hAnsi="Times New Roman" w:cs="Times New Roman"/>
                <w:b/>
                <w:sz w:val="28"/>
                <w:szCs w:val="28"/>
                <w:lang w:val="uk-UA" w:eastAsia="ru-RU"/>
              </w:rPr>
              <w:t>політики Сумської міської ради</w:t>
            </w:r>
          </w:p>
        </w:tc>
        <w:tc>
          <w:tcPr>
            <w:tcW w:w="5006" w:type="dxa"/>
          </w:tcPr>
          <w:p w:rsidR="00FD4F11" w:rsidRDefault="00FD4F11" w:rsidP="00D210E0">
            <w:pPr>
              <w:rPr>
                <w:rFonts w:ascii="Times New Roman" w:eastAsia="Times New Roman" w:hAnsi="Times New Roman" w:cs="Times New Roman"/>
                <w:b/>
                <w:sz w:val="28"/>
                <w:szCs w:val="28"/>
                <w:lang w:val="uk-UA" w:eastAsia="ru-RU"/>
              </w:rPr>
            </w:pPr>
          </w:p>
          <w:p w:rsidR="00FD4F11" w:rsidRDefault="00FD4F11" w:rsidP="00D210E0">
            <w:pPr>
              <w:rPr>
                <w:rFonts w:ascii="Times New Roman" w:eastAsia="Times New Roman" w:hAnsi="Times New Roman" w:cs="Times New Roman"/>
                <w:b/>
                <w:sz w:val="28"/>
                <w:szCs w:val="28"/>
                <w:lang w:val="uk-UA" w:eastAsia="ru-RU"/>
              </w:rPr>
            </w:pPr>
          </w:p>
          <w:p w:rsidR="00FD4F11" w:rsidRDefault="00FD4F11" w:rsidP="00D210E0">
            <w:pPr>
              <w:rPr>
                <w:rFonts w:ascii="Times New Roman" w:eastAsia="Times New Roman" w:hAnsi="Times New Roman" w:cs="Times New Roman"/>
                <w:b/>
                <w:sz w:val="28"/>
                <w:szCs w:val="28"/>
                <w:lang w:val="uk-UA" w:eastAsia="ru-RU"/>
              </w:rPr>
            </w:pPr>
          </w:p>
          <w:p w:rsidR="00FD4F11" w:rsidRDefault="00FD4F11" w:rsidP="00D210E0">
            <w:pPr>
              <w:rPr>
                <w:rFonts w:ascii="Times New Roman" w:eastAsia="Times New Roman" w:hAnsi="Times New Roman" w:cs="Times New Roman"/>
                <w:b/>
                <w:sz w:val="28"/>
                <w:szCs w:val="28"/>
                <w:lang w:val="uk-UA" w:eastAsia="ru-RU"/>
              </w:rPr>
            </w:pPr>
          </w:p>
          <w:p w:rsidR="00D210E0" w:rsidRDefault="00D210E0" w:rsidP="00D210E0">
            <w:pPr>
              <w:jc w:val="right"/>
              <w:rPr>
                <w:rFonts w:ascii="Times New Roman" w:eastAsia="Times New Roman" w:hAnsi="Times New Roman" w:cs="Times New Roman"/>
                <w:b/>
                <w:sz w:val="28"/>
                <w:szCs w:val="28"/>
                <w:lang w:val="uk-UA" w:eastAsia="ru-RU"/>
              </w:rPr>
            </w:pPr>
          </w:p>
          <w:p w:rsidR="00D210E0" w:rsidRDefault="00D210E0" w:rsidP="00D210E0">
            <w:pPr>
              <w:jc w:val="right"/>
              <w:rPr>
                <w:rFonts w:ascii="Times New Roman" w:eastAsia="Times New Roman" w:hAnsi="Times New Roman" w:cs="Times New Roman"/>
                <w:b/>
                <w:sz w:val="28"/>
                <w:szCs w:val="28"/>
                <w:lang w:val="uk-UA" w:eastAsia="ru-RU"/>
              </w:rPr>
            </w:pPr>
          </w:p>
          <w:p w:rsidR="00FD4F11" w:rsidRDefault="00FD4F11" w:rsidP="00D210E0">
            <w:pPr>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uk-UA" w:eastAsia="ru-RU"/>
              </w:rPr>
              <w:t>Анастасія ТКАЧОВА</w:t>
            </w:r>
          </w:p>
        </w:tc>
      </w:tr>
    </w:tbl>
    <w:p w:rsidR="00FD4F11" w:rsidRDefault="0070701B" w:rsidP="00FD4F11">
      <w:pPr>
        <w:spacing w:before="120" w:after="0" w:line="240" w:lineRule="auto"/>
        <w:ind w:left="2977" w:right="3"/>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Додаток</w:t>
      </w:r>
      <w:r w:rsidRPr="005D0FDF">
        <w:rPr>
          <w:rFonts w:ascii="Times New Roman" w:eastAsia="Times New Roman" w:hAnsi="Times New Roman" w:cs="Times New Roman"/>
          <w:sz w:val="28"/>
          <w:szCs w:val="28"/>
          <w:lang w:val="uk-UA"/>
        </w:rPr>
        <w:t xml:space="preserve"> </w:t>
      </w:r>
    </w:p>
    <w:p w:rsidR="0070701B" w:rsidRPr="0070701B" w:rsidRDefault="0070701B" w:rsidP="00FD4F11">
      <w:pPr>
        <w:spacing w:before="120" w:after="0" w:line="240" w:lineRule="auto"/>
        <w:ind w:left="4223" w:right="3"/>
        <w:jc w:val="both"/>
        <w:rPr>
          <w:rFonts w:ascii="Times New Roman" w:eastAsia="Times New Roman" w:hAnsi="Times New Roman" w:cs="Times New Roman"/>
          <w:sz w:val="28"/>
          <w:szCs w:val="28"/>
          <w:shd w:val="solid" w:color="FFFFFF" w:fill="FFFFFF"/>
          <w:lang w:val="uk-UA" w:eastAsia="uk-UA"/>
        </w:rPr>
      </w:pPr>
      <w:r w:rsidRPr="0070701B">
        <w:rPr>
          <w:rFonts w:ascii="Times New Roman" w:eastAsia="Times New Roman" w:hAnsi="Times New Roman" w:cs="Times New Roman"/>
          <w:sz w:val="28"/>
          <w:szCs w:val="28"/>
          <w:lang w:val="uk-UA"/>
        </w:rPr>
        <w:t>до Порядку підготовки публічних інвестиційних про</w:t>
      </w:r>
      <w:r w:rsidR="00B06D3B">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та програм публічних інвестицій</w:t>
      </w:r>
      <w:r w:rsidR="006F3B0D">
        <w:rPr>
          <w:rFonts w:ascii="Times New Roman" w:eastAsia="Times New Roman" w:hAnsi="Times New Roman" w:cs="Times New Roman"/>
          <w:sz w:val="28"/>
          <w:szCs w:val="28"/>
          <w:lang w:val="uk-UA"/>
        </w:rPr>
        <w:t xml:space="preserve"> Сумської міської ради</w:t>
      </w:r>
      <w:r w:rsidRPr="0070701B">
        <w:rPr>
          <w:rFonts w:ascii="Times New Roman" w:eastAsia="Times New Roman" w:hAnsi="Times New Roman" w:cs="Times New Roman"/>
          <w:sz w:val="28"/>
          <w:szCs w:val="28"/>
          <w:lang w:val="uk-UA"/>
        </w:rPr>
        <w:br/>
      </w:r>
    </w:p>
    <w:p w:rsidR="0070701B" w:rsidRPr="0070701B" w:rsidRDefault="0070701B" w:rsidP="0009787F">
      <w:pPr>
        <w:keepLines/>
        <w:spacing w:before="240" w:after="240" w:line="240" w:lineRule="auto"/>
        <w:ind w:right="6"/>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ЗМІСТ</w:t>
      </w:r>
      <w:r w:rsidRPr="0070701B">
        <w:rPr>
          <w:rFonts w:ascii="Times New Roman" w:eastAsia="Times New Roman" w:hAnsi="Times New Roman" w:cs="Times New Roman"/>
          <w:sz w:val="28"/>
          <w:szCs w:val="28"/>
          <w:lang w:val="uk-UA"/>
        </w:rPr>
        <w:br/>
        <w:t>попереднього інвестиційного техніко-економічного обґрунтування та інвестиційного техніко-економічного обґрунтування публічного інвестиційного про</w:t>
      </w:r>
      <w:r w:rsidR="00B06D3B">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bl>
      <w:tblPr>
        <w:tblW w:w="5392" w:type="pct"/>
        <w:tblInd w:w="-426" w:type="dxa"/>
        <w:tblCellMar>
          <w:left w:w="100" w:type="dxa"/>
        </w:tblCellMar>
        <w:tblLook w:val="04A0" w:firstRow="1" w:lastRow="0" w:firstColumn="1" w:lastColumn="0" w:noHBand="0" w:noVBand="1"/>
      </w:tblPr>
      <w:tblGrid>
        <w:gridCol w:w="3926"/>
        <w:gridCol w:w="3158"/>
        <w:gridCol w:w="3365"/>
      </w:tblGrid>
      <w:tr w:rsidR="005D0FDF" w:rsidRPr="00506E67" w:rsidTr="009F22CA">
        <w:trPr>
          <w:tblHeader/>
        </w:trPr>
        <w:tc>
          <w:tcPr>
            <w:tcW w:w="1879" w:type="pct"/>
            <w:vMerge w:val="restart"/>
            <w:tcBorders>
              <w:top w:val="single" w:sz="2" w:space="0" w:color="auto"/>
              <w:left w:val="nil"/>
              <w:bottom w:val="single" w:sz="2" w:space="0" w:color="auto"/>
              <w:right w:val="single" w:sz="2" w:space="0" w:color="auto"/>
            </w:tcBorders>
            <w:tcMar>
              <w:top w:w="0" w:type="dxa"/>
              <w:left w:w="100" w:type="dxa"/>
              <w:bottom w:w="0" w:type="dxa"/>
              <w:right w:w="100" w:type="dxa"/>
            </w:tcMar>
            <w:vAlign w:val="center"/>
            <w:hideMark/>
          </w:tcPr>
          <w:p w:rsidR="0070701B" w:rsidRPr="0070701B" w:rsidRDefault="0070701B" w:rsidP="00B06D3B">
            <w:pPr>
              <w:keepLines/>
              <w:tabs>
                <w:tab w:val="left" w:pos="326"/>
              </w:tabs>
              <w:spacing w:before="120" w:after="0" w:line="240" w:lineRule="auto"/>
              <w:ind w:right="3"/>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Зміст попереднього інвестиційного техніко-економічного обґрунтування публічного інвестиційного про</w:t>
            </w:r>
            <w:r w:rsidR="00B06D3B">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c>
          <w:tcPr>
            <w:tcW w:w="3121" w:type="pct"/>
            <w:gridSpan w:val="2"/>
            <w:tcBorders>
              <w:top w:val="single" w:sz="2" w:space="0" w:color="auto"/>
              <w:left w:val="single" w:sz="2" w:space="0" w:color="auto"/>
              <w:bottom w:val="single" w:sz="2" w:space="0" w:color="auto"/>
              <w:right w:val="nil"/>
            </w:tcBorders>
            <w:tcMar>
              <w:top w:w="0" w:type="dxa"/>
              <w:left w:w="100" w:type="dxa"/>
              <w:bottom w:w="0" w:type="dxa"/>
              <w:right w:w="100" w:type="dxa"/>
            </w:tcMar>
            <w:vAlign w:val="center"/>
            <w:hideMark/>
          </w:tcPr>
          <w:p w:rsidR="0070701B" w:rsidRPr="0070701B" w:rsidRDefault="0070701B" w:rsidP="00B06D3B">
            <w:pPr>
              <w:keepLines/>
              <w:tabs>
                <w:tab w:val="left" w:pos="326"/>
              </w:tabs>
              <w:spacing w:before="120" w:after="0" w:line="240" w:lineRule="auto"/>
              <w:ind w:right="3"/>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Зміст інвестиційного техніко-економічного обґрунтування публічного інвестиційного про</w:t>
            </w:r>
            <w:r w:rsidR="00B06D3B">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r>
      <w:tr w:rsidR="005D0FDF" w:rsidRPr="00506E67" w:rsidTr="009F22CA">
        <w:trPr>
          <w:tblHeader/>
        </w:trPr>
        <w:tc>
          <w:tcPr>
            <w:tcW w:w="0" w:type="auto"/>
            <w:vMerge/>
            <w:tcBorders>
              <w:top w:val="single" w:sz="2" w:space="0" w:color="auto"/>
              <w:left w:val="nil"/>
              <w:bottom w:val="single" w:sz="2" w:space="0" w:color="auto"/>
              <w:right w:val="single" w:sz="2" w:space="0" w:color="auto"/>
            </w:tcBorders>
            <w:vAlign w:val="center"/>
            <w:hideMark/>
          </w:tcPr>
          <w:p w:rsidR="0070701B" w:rsidRPr="0070701B" w:rsidRDefault="0070701B" w:rsidP="0009787F">
            <w:pPr>
              <w:spacing w:after="0" w:line="240" w:lineRule="auto"/>
              <w:rPr>
                <w:rFonts w:ascii="Times New Roman" w:eastAsia="Times New Roman" w:hAnsi="Times New Roman" w:cs="Times New Roman"/>
                <w:sz w:val="28"/>
                <w:szCs w:val="28"/>
                <w:lang w:val="uk-UA"/>
              </w:rPr>
            </w:pPr>
          </w:p>
        </w:tc>
        <w:tc>
          <w:tcPr>
            <w:tcW w:w="1511" w:type="pct"/>
            <w:tcBorders>
              <w:top w:val="single" w:sz="2" w:space="0" w:color="auto"/>
              <w:left w:val="single" w:sz="2" w:space="0" w:color="auto"/>
              <w:bottom w:val="single" w:sz="2" w:space="0" w:color="auto"/>
              <w:right w:val="single" w:sz="2" w:space="0" w:color="auto"/>
            </w:tcBorders>
            <w:tcMar>
              <w:top w:w="0" w:type="dxa"/>
              <w:left w:w="100" w:type="dxa"/>
              <w:bottom w:w="0" w:type="dxa"/>
              <w:right w:w="100" w:type="dxa"/>
            </w:tcMar>
            <w:vAlign w:val="center"/>
            <w:hideMark/>
          </w:tcPr>
          <w:p w:rsidR="0070701B" w:rsidRPr="0070701B" w:rsidRDefault="0070701B" w:rsidP="00B06D3B">
            <w:pPr>
              <w:keepLines/>
              <w:tabs>
                <w:tab w:val="left" w:pos="326"/>
              </w:tabs>
              <w:spacing w:before="120" w:after="0" w:line="240" w:lineRule="auto"/>
              <w:ind w:right="3"/>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прогнозована загальна вартість про</w:t>
            </w:r>
            <w:r w:rsidR="00B06D3B">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не перевищує 50 млн. гривень</w:t>
            </w:r>
          </w:p>
        </w:tc>
        <w:tc>
          <w:tcPr>
            <w:tcW w:w="1610" w:type="pct"/>
            <w:tcBorders>
              <w:top w:val="single" w:sz="2" w:space="0" w:color="auto"/>
              <w:left w:val="single" w:sz="2" w:space="0" w:color="auto"/>
              <w:bottom w:val="single" w:sz="2" w:space="0" w:color="auto"/>
              <w:right w:val="nil"/>
            </w:tcBorders>
            <w:tcMar>
              <w:top w:w="0" w:type="dxa"/>
              <w:left w:w="100" w:type="dxa"/>
              <w:bottom w:w="0" w:type="dxa"/>
              <w:right w:w="100" w:type="dxa"/>
            </w:tcMar>
            <w:vAlign w:val="center"/>
            <w:hideMark/>
          </w:tcPr>
          <w:p w:rsidR="0070701B" w:rsidRPr="0070701B" w:rsidRDefault="0070701B" w:rsidP="00556000">
            <w:pPr>
              <w:keepLines/>
              <w:tabs>
                <w:tab w:val="left" w:pos="326"/>
              </w:tabs>
              <w:spacing w:before="120" w:after="0" w:line="240" w:lineRule="auto"/>
              <w:ind w:right="3"/>
              <w:jc w:val="center"/>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прогнозована загальна вартість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перевищує 50 млн. гривень</w:t>
            </w:r>
          </w:p>
        </w:tc>
      </w:tr>
      <w:tr w:rsidR="005D0FDF" w:rsidRPr="0070701B" w:rsidTr="009F22CA">
        <w:tc>
          <w:tcPr>
            <w:tcW w:w="5000" w:type="pct"/>
            <w:gridSpan w:val="3"/>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Стратегічне обґрунтування, що включає:</w:t>
            </w:r>
          </w:p>
        </w:tc>
      </w:tr>
      <w:tr w:rsidR="005D0FDF" w:rsidRPr="00506E67" w:rsidTr="009F22CA">
        <w:tc>
          <w:tcPr>
            <w:tcW w:w="1879"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проведення аналізу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на відповідність цілям та завданням стратегічних документів, документів стратегічного планування відповідного рівня; визначення напряму  публічного інвестування у відповідній галузі (секторі), з яким пов’язаний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w:t>
            </w:r>
          </w:p>
          <w:p w:rsidR="0070701B" w:rsidRPr="005D0FDF"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проведення аналізу проблеми (потреби), на розв’язання якої спрямований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 її параметрів, обґрунтування необхідності розв’язання проблеми (задоволення потреби) шляхом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основні заходи, спрямовані на її розв’язання</w:t>
            </w:r>
          </w:p>
          <w:p w:rsidR="0070701B" w:rsidRPr="005D0FDF"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p>
          <w:p w:rsidR="0070701B" w:rsidRPr="005D0FDF"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p>
          <w:p w:rsidR="0070701B" w:rsidRPr="005D0FDF"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p>
          <w:p w:rsidR="0070701B" w:rsidRPr="0070701B"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p>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підтвердження відповідності мети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напряму публічного інвестування у відповідній галузі (секторі)</w:t>
            </w:r>
          </w:p>
          <w:p w:rsidR="0070701B" w:rsidRPr="0070701B" w:rsidRDefault="0070701B" w:rsidP="00556000">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забезпечення відповідності цілей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цільовим показникам напряму публічного інвестування у відповідній галузі (секторі) та наскрізним стратегічним цілям здійснення публічних інвестицій</w:t>
            </w:r>
          </w:p>
        </w:tc>
        <w:tc>
          <w:tcPr>
            <w:tcW w:w="1511" w:type="pct"/>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hideMark/>
          </w:tcPr>
          <w:p w:rsidR="0070701B" w:rsidRPr="0070701B" w:rsidRDefault="0070701B" w:rsidP="00556000">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перегляд та підтвердження стратегічного обґрунтування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підготовленого в рамках попереднього інвестиційного техніко-економічного обґрунтування публічного інвестиційного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r>
      <w:tr w:rsidR="005D0FDF" w:rsidRPr="0070701B" w:rsidTr="009F22CA">
        <w:tc>
          <w:tcPr>
            <w:tcW w:w="5000" w:type="pct"/>
            <w:gridSpan w:val="3"/>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Економічне обґрунтування, що включає:</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проведення аналізу можливих технічних рішень із забезпеченням орієнтовної оцінки економічних витрат, переваг, недоліків та ризиків для кожного варіанта технічного рішення, відповідності цілям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c>
          <w:tcPr>
            <w:tcW w:w="1511" w:type="pct"/>
            <w:tcMar>
              <w:top w:w="0" w:type="dxa"/>
              <w:left w:w="100" w:type="dxa"/>
              <w:bottom w:w="0" w:type="dxa"/>
              <w:right w:w="100" w:type="dxa"/>
            </w:tcMar>
            <w:hideMark/>
          </w:tcPr>
          <w:p w:rsidR="0070701B" w:rsidRPr="0070701B" w:rsidRDefault="0070701B" w:rsidP="0009787F">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 xml:space="preserve">1) проведення аналізу та визначення остаточного технічного рішення за результатами економічного аналізу попередніх технічних рішень, проведеного за обраною методологією, з урахуванням методичних рекомендацій, затверджених Мінекономіки (аналіз ефективності витрат, </w:t>
            </w:r>
            <w:r w:rsidRPr="0070701B">
              <w:rPr>
                <w:rFonts w:ascii="Times New Roman" w:eastAsia="Times New Roman" w:hAnsi="Times New Roman" w:cs="Times New Roman"/>
                <w:sz w:val="28"/>
                <w:szCs w:val="28"/>
                <w:lang w:val="uk-UA"/>
              </w:rPr>
              <w:lastRenderedPageBreak/>
              <w:t>аналіз найменших витрат)</w:t>
            </w:r>
          </w:p>
        </w:tc>
        <w:tc>
          <w:tcPr>
            <w:tcW w:w="1610" w:type="pct"/>
            <w:tcMar>
              <w:top w:w="0" w:type="dxa"/>
              <w:left w:w="100" w:type="dxa"/>
              <w:bottom w:w="0" w:type="dxa"/>
              <w:right w:w="100" w:type="dxa"/>
            </w:tcMar>
            <w:hideMark/>
          </w:tcPr>
          <w:p w:rsidR="0070701B" w:rsidRPr="0070701B" w:rsidRDefault="0070701B" w:rsidP="0009787F">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 xml:space="preserve">1) проведення аналізу та визначення можливого остаточного технічного рішення за результатами економічного аналізу попередніх технічних рішень, проведеного за обраною методологією, з  урахуванням методичних рекомендацій, затверджених Мінекономіки (аналіз витрат і вигод, аналіз ефективності витрат, аналіз найменших витрат, </w:t>
            </w:r>
            <w:r w:rsidRPr="0070701B">
              <w:rPr>
                <w:rFonts w:ascii="Times New Roman" w:eastAsia="Times New Roman" w:hAnsi="Times New Roman" w:cs="Times New Roman"/>
                <w:sz w:val="28"/>
                <w:szCs w:val="28"/>
                <w:lang w:val="uk-UA"/>
              </w:rPr>
              <w:lastRenderedPageBreak/>
              <w:t>багатокритеріальний аналіз)</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2) визначення попередніх технічних рішень за результатами аналізу можливих технічних рішень разом з обґрунтуванням прогнозованої вартості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зокрема шляхом аналізу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ктів-аналогів</w:t>
            </w:r>
          </w:p>
        </w:tc>
        <w:tc>
          <w:tcPr>
            <w:tcW w:w="1511" w:type="pct"/>
            <w:tcMar>
              <w:top w:w="0" w:type="dxa"/>
              <w:left w:w="100" w:type="dxa"/>
              <w:bottom w:w="0" w:type="dxa"/>
              <w:right w:w="100" w:type="dxa"/>
            </w:tcMar>
            <w:hideMark/>
          </w:tcPr>
          <w:p w:rsidR="0070701B" w:rsidRPr="0070701B" w:rsidRDefault="0070701B" w:rsidP="00556000">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проведення деталізованого опису основних компонентів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включаючи їх функціональне призначення, очікувані результати та орієнтовну вартість кожного компонента</w:t>
            </w:r>
          </w:p>
        </w:tc>
        <w:tc>
          <w:tcPr>
            <w:tcW w:w="1610" w:type="pct"/>
            <w:tcMar>
              <w:top w:w="0" w:type="dxa"/>
              <w:left w:w="100" w:type="dxa"/>
              <w:bottom w:w="0" w:type="dxa"/>
              <w:right w:w="100" w:type="dxa"/>
            </w:tcMar>
            <w:hideMark/>
          </w:tcPr>
          <w:p w:rsidR="0070701B" w:rsidRPr="0070701B" w:rsidRDefault="0070701B" w:rsidP="00556000">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проведення деталізованого опису основних компонентів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включаючи їх функціональне призначення, очікувані результати та орієнтовну вартість кожного компонента</w:t>
            </w:r>
          </w:p>
        </w:tc>
      </w:tr>
      <w:tr w:rsidR="005D0FDF" w:rsidRPr="00506E67" w:rsidTr="009F22CA">
        <w:tc>
          <w:tcPr>
            <w:tcW w:w="1879" w:type="pct"/>
            <w:tcMar>
              <w:top w:w="0" w:type="dxa"/>
              <w:left w:w="100" w:type="dxa"/>
              <w:bottom w:w="0" w:type="dxa"/>
              <w:right w:w="100" w:type="dxa"/>
            </w:tcMar>
            <w:hideMark/>
          </w:tcPr>
          <w:p w:rsidR="0070701B" w:rsidRPr="0070701B" w:rsidRDefault="00556000" w:rsidP="0009787F">
            <w:pPr>
              <w:tabs>
                <w:tab w:val="left" w:pos="326"/>
              </w:tabs>
              <w:spacing w:before="120" w:after="0" w:line="240" w:lineRule="auto"/>
              <w:ind w:right="6"/>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базовий аналіз впливу проє</w:t>
            </w:r>
            <w:r w:rsidR="0070701B" w:rsidRPr="0070701B">
              <w:rPr>
                <w:rFonts w:ascii="Times New Roman" w:eastAsia="Times New Roman" w:hAnsi="Times New Roman" w:cs="Times New Roman"/>
                <w:sz w:val="28"/>
                <w:szCs w:val="28"/>
                <w:lang w:val="uk-UA"/>
              </w:rPr>
              <w:t>кту на навколишнє природне середовище та зміну клімату, проведений з урахуванням методичних рекомендацій, затверджених Мінекономіки</w:t>
            </w:r>
          </w:p>
        </w:tc>
        <w:tc>
          <w:tcPr>
            <w:tcW w:w="1511" w:type="pct"/>
            <w:tcMar>
              <w:top w:w="0" w:type="dxa"/>
              <w:left w:w="100" w:type="dxa"/>
              <w:bottom w:w="0" w:type="dxa"/>
              <w:right w:w="100" w:type="dxa"/>
            </w:tcMar>
          </w:tcPr>
          <w:p w:rsidR="0070701B" w:rsidRPr="0070701B" w:rsidRDefault="0070701B" w:rsidP="0009787F">
            <w:pPr>
              <w:tabs>
                <w:tab w:val="left" w:pos="326"/>
              </w:tabs>
              <w:spacing w:before="120" w:after="0" w:line="240" w:lineRule="auto"/>
              <w:ind w:right="6"/>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09787F">
            <w:pPr>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оцінку впливу на довкілля та соціальну сферу для попередніх технічних рішень (або обґрунтування, чому така оцінка не є доцільною або юридично необхідною процедурою)</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підготовку плану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визначенням орієнтовної тривалості його підготовки та  реалізації</w:t>
            </w:r>
          </w:p>
        </w:tc>
        <w:tc>
          <w:tcPr>
            <w:tcW w:w="1511" w:type="pct"/>
            <w:tcMar>
              <w:top w:w="0" w:type="dxa"/>
              <w:left w:w="100" w:type="dxa"/>
              <w:bottom w:w="0" w:type="dxa"/>
              <w:right w:w="100" w:type="dxa"/>
            </w:tcMar>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проведення аналізу впливу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на навколишнє природне середовище та зміну клімату, включаючи заходи з охорони навколишнього природного середовища, із зменшення викидів парникових газів та адаптацію до змін клімату, що сприятиме сталому розвитку та збереженню природних ресурсів</w:t>
            </w:r>
          </w:p>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5) проведення аналізу чутливості до змін основних параметрів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для виявлення критичних змінних та оцінки ризиків, пов’язаних з їх змінами (для масштабних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w:t>
            </w:r>
          </w:p>
        </w:tc>
      </w:tr>
      <w:tr w:rsidR="005D0FDF" w:rsidRPr="0070701B" w:rsidTr="009F22CA">
        <w:tc>
          <w:tcPr>
            <w:tcW w:w="5000" w:type="pct"/>
            <w:gridSpan w:val="3"/>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3. Комерційне обґрунтування, що включає:</w:t>
            </w:r>
          </w:p>
        </w:tc>
      </w:tr>
      <w:tr w:rsidR="005D0FDF" w:rsidRPr="0070701B" w:rsidTr="009F22CA">
        <w:tc>
          <w:tcPr>
            <w:tcW w:w="1879"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попередню оцінку ринку постачальників та підрядників, а також аналіз доступних варіантів закупівель для попередніх технічних рішень</w:t>
            </w:r>
          </w:p>
        </w:tc>
        <w:tc>
          <w:tcPr>
            <w:tcW w:w="1511" w:type="pct"/>
            <w:tcMar>
              <w:top w:w="0" w:type="dxa"/>
              <w:left w:w="100" w:type="dxa"/>
              <w:bottom w:w="0" w:type="dxa"/>
              <w:right w:w="100" w:type="dxa"/>
            </w:tcMar>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визначення та обґрунтування стратегії закупівель для технічного рішення</w:t>
            </w:r>
          </w:p>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проведення попереднього залучення ринку</w:t>
            </w:r>
          </w:p>
        </w:tc>
      </w:tr>
      <w:tr w:rsidR="005D0FDF" w:rsidRPr="0070701B" w:rsidTr="009F22CA">
        <w:tc>
          <w:tcPr>
            <w:tcW w:w="5000" w:type="pct"/>
            <w:gridSpan w:val="3"/>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Фінансове обґрунтування, що включає:</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визначення загальних обсягів витрат, необхідних д</w:t>
            </w:r>
            <w:r w:rsidR="00556000">
              <w:rPr>
                <w:rFonts w:ascii="Times New Roman" w:eastAsia="Times New Roman" w:hAnsi="Times New Roman" w:cs="Times New Roman"/>
                <w:sz w:val="28"/>
                <w:szCs w:val="28"/>
                <w:lang w:val="uk-UA"/>
              </w:rPr>
              <w:t>ля підготовки та реалізації проє</w:t>
            </w:r>
            <w:r w:rsidRPr="0070701B">
              <w:rPr>
                <w:rFonts w:ascii="Times New Roman" w:eastAsia="Times New Roman" w:hAnsi="Times New Roman" w:cs="Times New Roman"/>
                <w:sz w:val="28"/>
                <w:szCs w:val="28"/>
                <w:lang w:val="uk-UA"/>
              </w:rPr>
              <w:t>кту, з урахуванням методики, затвердженої Мінфіном, та порівняння вартості аналогічних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w:t>
            </w:r>
          </w:p>
        </w:tc>
        <w:tc>
          <w:tcPr>
            <w:tcW w:w="1511"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формування загальної вартості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урахуванням всіх категорій витрат, а також орієнтовних середньорічних витрат на експлуатацію і утримання</w:t>
            </w: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формування загальної вартості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урахуванням всіх категорій витрат, а також орієнтовних середньорічних витрат на експлуатацію і утримання</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визначення можливих механізмів фінансового забезпечення та потенційних джерел фінансування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c>
          <w:tcPr>
            <w:tcW w:w="1511"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уточнення потенційних джерел фінансування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та їх співвідношення; фінансовий аналіз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 xml:space="preserve">кту, що включає </w:t>
            </w:r>
            <w:r w:rsidRPr="0070701B">
              <w:rPr>
                <w:rFonts w:ascii="Times New Roman" w:eastAsia="Times New Roman" w:hAnsi="Times New Roman" w:cs="Times New Roman"/>
                <w:sz w:val="28"/>
                <w:szCs w:val="28"/>
                <w:lang w:val="uk-UA"/>
              </w:rPr>
              <w:lastRenderedPageBreak/>
              <w:t>аналіз фінансової стійкості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фінансової окупності інвестицій тощо</w:t>
            </w:r>
          </w:p>
        </w:tc>
        <w:tc>
          <w:tcPr>
            <w:tcW w:w="1610"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2) уточнення потенційних джерел фінансування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та їх співвідношення</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проведення аналізу доступності послуг для споживачів, зокрема цінову доступність (спроможність оплачувати встановлені тарифи), — для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що передбачають надання платних послуг та встановлення тарифів на такі послуги</w:t>
            </w:r>
          </w:p>
        </w:tc>
        <w:tc>
          <w:tcPr>
            <w:tcW w:w="1511" w:type="pct"/>
            <w:tcMar>
              <w:top w:w="0" w:type="dxa"/>
              <w:left w:w="100" w:type="dxa"/>
              <w:bottom w:w="0" w:type="dxa"/>
              <w:right w:w="100" w:type="dxa"/>
            </w:tcMar>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проведення аналізу доступності послуг для споживачів, зокрема цінову доступність (спроможність оплачувати встановлені тарифи), — для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що передбачають надання платних послуг та встановлення тарифів на такі послуги</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проведення аналізу отримання доходу (якщо він передбачається) з прогнозами надходжень від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c>
          <w:tcPr>
            <w:tcW w:w="1511" w:type="pct"/>
            <w:tcMar>
              <w:top w:w="0" w:type="dxa"/>
              <w:left w:w="100" w:type="dxa"/>
              <w:bottom w:w="0" w:type="dxa"/>
              <w:right w:w="100" w:type="dxa"/>
            </w:tcMar>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проведення аналізу отримання доходу (якщо він передбачається) з  прогнозами надходжень від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5) оцінку придатності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для державно-приватного партнерства (у випадку якщо бажаним варіантом обрано реалізацію шляхом державно-приватного партнерства)</w:t>
            </w:r>
          </w:p>
        </w:tc>
        <w:tc>
          <w:tcPr>
            <w:tcW w:w="1511" w:type="pct"/>
            <w:tcMar>
              <w:top w:w="0" w:type="dxa"/>
              <w:left w:w="100" w:type="dxa"/>
              <w:bottom w:w="0" w:type="dxa"/>
              <w:right w:w="100" w:type="dxa"/>
            </w:tcMar>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5) фінансовий аналіз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що включає аналіз фінансової стійкості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фінансової окупності інвестицій тощо</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6) проведення аналізу самоокупності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урахуванням реальної ставки дисконтування, доведеної інструктивним листом Мінекономіки (розміщується на офіційному веб-сайті (веб-</w:t>
            </w:r>
            <w:r w:rsidRPr="0070701B">
              <w:rPr>
                <w:rFonts w:ascii="Times New Roman" w:eastAsia="Times New Roman" w:hAnsi="Times New Roman" w:cs="Times New Roman"/>
                <w:sz w:val="28"/>
                <w:szCs w:val="28"/>
                <w:lang w:val="uk-UA"/>
              </w:rPr>
              <w:lastRenderedPageBreak/>
              <w:t>порталі) Мінекономіки) до ініціаторів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або іншої ставки дисконтування, до якої додається обґрунтування та формула розрахунку</w:t>
            </w:r>
          </w:p>
        </w:tc>
        <w:tc>
          <w:tcPr>
            <w:tcW w:w="1511" w:type="pct"/>
            <w:tcMar>
              <w:top w:w="0" w:type="dxa"/>
              <w:left w:w="100" w:type="dxa"/>
              <w:bottom w:w="0" w:type="dxa"/>
              <w:right w:w="100" w:type="dxa"/>
            </w:tcMar>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6) проведення аналізу самоокупності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 xml:space="preserve">кту з урахуванням реальної ставки дисконтування, доведеної інструктивним листом Мінекономіки (розміщується на </w:t>
            </w:r>
            <w:r w:rsidRPr="0070701B">
              <w:rPr>
                <w:rFonts w:ascii="Times New Roman" w:eastAsia="Times New Roman" w:hAnsi="Times New Roman" w:cs="Times New Roman"/>
                <w:sz w:val="28"/>
                <w:szCs w:val="28"/>
                <w:lang w:val="uk-UA"/>
              </w:rPr>
              <w:lastRenderedPageBreak/>
              <w:t>офіційному веб-сайті (веб-порталі) Мінекономіки) до ініціаторів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або іншої ставки  дисконтування, до якої додається обґрунтування та формула розрахунку</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7) оцінку фінансового стану потенційного бенефіціара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відповідно до Порядку проведення оцінки фінансового стану потенційного бенефіціара інвестиційного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реалізація якого передбачається на умовах фінансової самоокупності, а також визначення виду забезпечення для обслуговування та погашення позики, наданої за рахунок коштів міжнародних фінансових організацій, обслуговування якої здійснюватиметься за рахунок коштів бенефіціара, затвердженого наказом Мінфіну від 14 липня 2016 р. № 616 (для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реалізація якого передбачається на умовах фінансової самоокупності)</w:t>
            </w:r>
          </w:p>
        </w:tc>
        <w:tc>
          <w:tcPr>
            <w:tcW w:w="1511" w:type="pct"/>
            <w:tcMar>
              <w:top w:w="0" w:type="dxa"/>
              <w:left w:w="100" w:type="dxa"/>
              <w:bottom w:w="0" w:type="dxa"/>
              <w:right w:w="100" w:type="dxa"/>
            </w:tcMar>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7) оцінку фінансового стану потенційного бенефіціара відповідно до Порядку проведення оцінки фінансового стану (для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реалізація якого передбачається на умовах фінансової самоокупності)</w:t>
            </w:r>
          </w:p>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8) визначення ризиків, які можуть вплинути на фінансування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зокрема затримки фінансування, зміни в ринкових умовах або непередбачені витрати, а також розроблення детального плану управління ризиками на випадок непередбачуваних ситуацій, який включатиме опис заходів щодо запобігання виникненню ризиків, опис дій на випадок настання ризикової події, розрахунок необхідних резервів для покриття можливих збитків, визначення відповідальних осіб за здійснення заходів з управління ризиками</w:t>
            </w:r>
          </w:p>
        </w:tc>
      </w:tr>
      <w:tr w:rsidR="005D0FDF" w:rsidRPr="0070701B" w:rsidTr="009F22CA">
        <w:tc>
          <w:tcPr>
            <w:tcW w:w="5000" w:type="pct"/>
            <w:gridSpan w:val="3"/>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5. Управлінське обґрунтування, що включає:</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проведення аналізу необхідних  компетенцій для якісної підготовки та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 xml:space="preserve">кту, включаючи визначення ключових функцій, необхідних навичок та досвіду, а також потреби у залученні незалежних </w:t>
            </w:r>
            <w:r w:rsidRPr="0070701B">
              <w:rPr>
                <w:rFonts w:ascii="Times New Roman" w:eastAsia="Times New Roman" w:hAnsi="Times New Roman" w:cs="Times New Roman"/>
                <w:sz w:val="28"/>
                <w:szCs w:val="28"/>
                <w:lang w:val="uk-UA"/>
              </w:rPr>
              <w:lastRenderedPageBreak/>
              <w:t>експертів та консультантів різного профілю</w:t>
            </w:r>
          </w:p>
        </w:tc>
        <w:tc>
          <w:tcPr>
            <w:tcW w:w="1511"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1) формування плану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визначенням послідовності дій та графіка його реалізації</w:t>
            </w: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1) формування команди управління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ктом, включаючи залучених незалежних експертних організацій, експертів та консультантів різного профілю</w:t>
            </w:r>
          </w:p>
        </w:tc>
      </w:tr>
      <w:tr w:rsidR="005D0FDF" w:rsidRPr="00506E67" w:rsidTr="009F22CA">
        <w:tc>
          <w:tcPr>
            <w:tcW w:w="1879"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визначення потенційних ризикі</w:t>
            </w:r>
            <w:r w:rsidR="00556000">
              <w:rPr>
                <w:rFonts w:ascii="Times New Roman" w:eastAsia="Times New Roman" w:hAnsi="Times New Roman" w:cs="Times New Roman"/>
                <w:sz w:val="28"/>
                <w:szCs w:val="28"/>
                <w:lang w:val="uk-UA"/>
              </w:rPr>
              <w:t>в, пов’язаних з підготовкою проє</w:t>
            </w:r>
            <w:r w:rsidRPr="0070701B">
              <w:rPr>
                <w:rFonts w:ascii="Times New Roman" w:eastAsia="Times New Roman" w:hAnsi="Times New Roman" w:cs="Times New Roman"/>
                <w:sz w:val="28"/>
                <w:szCs w:val="28"/>
                <w:lang w:val="uk-UA"/>
              </w:rPr>
              <w:t>кту (включаючи економічні, екологічні, соціальні тощо)</w:t>
            </w:r>
          </w:p>
        </w:tc>
        <w:tc>
          <w:tcPr>
            <w:tcW w:w="1511" w:type="pct"/>
            <w:tcMar>
              <w:top w:w="0" w:type="dxa"/>
              <w:left w:w="100" w:type="dxa"/>
              <w:bottom w:w="0" w:type="dxa"/>
              <w:right w:w="100" w:type="dxa"/>
            </w:tcMar>
            <w:hideMark/>
          </w:tcPr>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розроблення плану залучення заінтересованих сторін із фіксацією результатів проведеної роботи</w:t>
            </w:r>
          </w:p>
        </w:tc>
        <w:tc>
          <w:tcPr>
            <w:tcW w:w="1610"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2) формування плану реалізації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з визначенням послідовності дій та графіка його реалізації</w:t>
            </w:r>
          </w:p>
        </w:tc>
      </w:tr>
      <w:tr w:rsidR="005D0FDF" w:rsidRPr="00506E67" w:rsidTr="009F22CA">
        <w:tc>
          <w:tcPr>
            <w:tcW w:w="1879" w:type="pct"/>
            <w:tcMar>
              <w:top w:w="0" w:type="dxa"/>
              <w:left w:w="100" w:type="dxa"/>
              <w:bottom w:w="0" w:type="dxa"/>
              <w:right w:w="100" w:type="dxa"/>
            </w:tcMar>
            <w:hideMark/>
          </w:tcPr>
          <w:p w:rsidR="0070701B" w:rsidRPr="0070701B" w:rsidRDefault="0070701B" w:rsidP="00556000">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інформацію щодо потреби у залученні програм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з метою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до стадії реалізації</w:t>
            </w:r>
          </w:p>
        </w:tc>
        <w:tc>
          <w:tcPr>
            <w:tcW w:w="1511" w:type="pct"/>
            <w:tcMar>
              <w:top w:w="0" w:type="dxa"/>
              <w:left w:w="100" w:type="dxa"/>
              <w:bottom w:w="0" w:type="dxa"/>
              <w:right w:w="100" w:type="dxa"/>
            </w:tcMar>
            <w:hideMark/>
          </w:tcPr>
          <w:p w:rsidR="0070701B" w:rsidRPr="0070701B" w:rsidRDefault="0070701B" w:rsidP="00556000">
            <w:pPr>
              <w:widowControl w:val="0"/>
              <w:tabs>
                <w:tab w:val="left" w:pos="326"/>
              </w:tabs>
              <w:spacing w:before="120" w:after="0" w:line="240" w:lineRule="auto"/>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інформацію щодо потреби у залученні програм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з метою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до стадії реалізації</w:t>
            </w:r>
          </w:p>
        </w:tc>
        <w:tc>
          <w:tcPr>
            <w:tcW w:w="1610"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3) розроблення плану залучення заінтересованих сторін із фіксацією результатів проведеної роботи</w:t>
            </w:r>
          </w:p>
        </w:tc>
      </w:tr>
      <w:tr w:rsidR="005D0FDF" w:rsidRPr="00506E67" w:rsidTr="009F22CA">
        <w:tc>
          <w:tcPr>
            <w:tcW w:w="1879" w:type="pct"/>
            <w:tcMar>
              <w:top w:w="0" w:type="dxa"/>
              <w:left w:w="100" w:type="dxa"/>
              <w:bottom w:w="0" w:type="dxa"/>
              <w:right w:w="100" w:type="dxa"/>
            </w:tcMar>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інформацію щодо виду допомоги з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яка може бути надана програмами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w:t>
            </w:r>
          </w:p>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p>
        </w:tc>
        <w:tc>
          <w:tcPr>
            <w:tcW w:w="1511" w:type="pct"/>
            <w:tcMar>
              <w:top w:w="0" w:type="dxa"/>
              <w:left w:w="100" w:type="dxa"/>
              <w:bottom w:w="0" w:type="dxa"/>
              <w:right w:w="100" w:type="dxa"/>
            </w:tcMar>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інформацію щодо виду допомоги з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яка може бути надана програмами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w:t>
            </w:r>
          </w:p>
          <w:p w:rsidR="0070701B" w:rsidRPr="0070701B" w:rsidRDefault="0070701B" w:rsidP="0009787F">
            <w:pPr>
              <w:widowControl w:val="0"/>
              <w:tabs>
                <w:tab w:val="left" w:pos="326"/>
              </w:tabs>
              <w:spacing w:before="120" w:after="0" w:line="240" w:lineRule="auto"/>
              <w:rPr>
                <w:rFonts w:ascii="Times New Roman" w:eastAsia="Times New Roman" w:hAnsi="Times New Roman" w:cs="Times New Roman"/>
                <w:sz w:val="28"/>
                <w:szCs w:val="28"/>
                <w:lang w:val="uk-UA"/>
              </w:rPr>
            </w:pPr>
          </w:p>
        </w:tc>
        <w:tc>
          <w:tcPr>
            <w:tcW w:w="1610" w:type="pct"/>
            <w:tcMar>
              <w:top w:w="0" w:type="dxa"/>
              <w:left w:w="100" w:type="dxa"/>
              <w:bottom w:w="0" w:type="dxa"/>
              <w:right w:w="100" w:type="dxa"/>
            </w:tcMar>
            <w:hideMark/>
          </w:tcPr>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4) визначення основних ризиків, обмежень та залежностей, які можуть впливати на успішну реалізацію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(включаючи економічні, екологічні, соціальні тощо)</w:t>
            </w:r>
          </w:p>
          <w:p w:rsidR="0070701B" w:rsidRPr="0070701B" w:rsidRDefault="0070701B" w:rsidP="0009787F">
            <w:pPr>
              <w:keepLines/>
              <w:tabs>
                <w:tab w:val="left" w:pos="326"/>
              </w:tabs>
              <w:spacing w:before="120" w:after="0" w:line="240" w:lineRule="auto"/>
              <w:ind w:right="3"/>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5) визначення заходів контролю, спрямованих на зменшення ймовірності настання ризику, та заходів з пом’якшення наслідків</w:t>
            </w:r>
          </w:p>
          <w:p w:rsidR="0070701B" w:rsidRPr="0070701B" w:rsidRDefault="0070701B" w:rsidP="0009787F">
            <w:pPr>
              <w:keepLines/>
              <w:tabs>
                <w:tab w:val="left" w:pos="326"/>
              </w:tabs>
              <w:spacing w:before="6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lastRenderedPageBreak/>
              <w:t>6) інформацію щодо потреби у залученні програм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 з метою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до стадії реалізації</w:t>
            </w:r>
          </w:p>
          <w:p w:rsidR="0070701B" w:rsidRPr="0070701B" w:rsidRDefault="0070701B" w:rsidP="00556000">
            <w:pPr>
              <w:keepLines/>
              <w:tabs>
                <w:tab w:val="left" w:pos="326"/>
              </w:tabs>
              <w:spacing w:before="60" w:after="0" w:line="240" w:lineRule="auto"/>
              <w:ind w:right="6"/>
              <w:rPr>
                <w:rFonts w:ascii="Times New Roman" w:eastAsia="Times New Roman" w:hAnsi="Times New Roman" w:cs="Times New Roman"/>
                <w:sz w:val="28"/>
                <w:szCs w:val="28"/>
                <w:lang w:val="uk-UA"/>
              </w:rPr>
            </w:pPr>
            <w:r w:rsidRPr="0070701B">
              <w:rPr>
                <w:rFonts w:ascii="Times New Roman" w:eastAsia="Times New Roman" w:hAnsi="Times New Roman" w:cs="Times New Roman"/>
                <w:sz w:val="28"/>
                <w:szCs w:val="28"/>
                <w:lang w:val="uk-UA"/>
              </w:rPr>
              <w:t>7) інформацію щодо виду допомоги з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кту або програми, яка може бути надана програмами для підготовки про</w:t>
            </w:r>
            <w:r w:rsidR="00556000">
              <w:rPr>
                <w:rFonts w:ascii="Times New Roman" w:eastAsia="Times New Roman" w:hAnsi="Times New Roman" w:cs="Times New Roman"/>
                <w:sz w:val="28"/>
                <w:szCs w:val="28"/>
                <w:lang w:val="uk-UA"/>
              </w:rPr>
              <w:t>є</w:t>
            </w:r>
            <w:r w:rsidRPr="0070701B">
              <w:rPr>
                <w:rFonts w:ascii="Times New Roman" w:eastAsia="Times New Roman" w:hAnsi="Times New Roman" w:cs="Times New Roman"/>
                <w:sz w:val="28"/>
                <w:szCs w:val="28"/>
                <w:lang w:val="uk-UA"/>
              </w:rPr>
              <w:t>ктів</w:t>
            </w:r>
          </w:p>
        </w:tc>
      </w:tr>
    </w:tbl>
    <w:p w:rsidR="0070701B" w:rsidRPr="00895A3C" w:rsidRDefault="0070701B" w:rsidP="0009787F">
      <w:pPr>
        <w:spacing w:line="240" w:lineRule="auto"/>
        <w:ind w:firstLine="851"/>
        <w:rPr>
          <w:rFonts w:ascii="Times New Roman" w:hAnsi="Times New Roman" w:cs="Times New Roman"/>
          <w:sz w:val="28"/>
          <w:szCs w:val="28"/>
          <w:lang w:val="uk-UA"/>
        </w:rPr>
      </w:pPr>
    </w:p>
    <w:p w:rsidR="003C3F2B" w:rsidRPr="00895A3C" w:rsidRDefault="003C3F2B" w:rsidP="0009787F">
      <w:pPr>
        <w:spacing w:line="240" w:lineRule="auto"/>
        <w:ind w:firstLine="851"/>
        <w:rPr>
          <w:rFonts w:ascii="Times New Roman" w:hAnsi="Times New Roman" w:cs="Times New Roman"/>
          <w:sz w:val="28"/>
          <w:szCs w:val="28"/>
          <w:lang w:val="uk-UA"/>
        </w:rPr>
      </w:pPr>
    </w:p>
    <w:p w:rsidR="00895A3C" w:rsidRPr="00895A3C" w:rsidRDefault="00895A3C" w:rsidP="0009787F">
      <w:pPr>
        <w:spacing w:line="240" w:lineRule="auto"/>
        <w:ind w:firstLine="851"/>
        <w:rPr>
          <w:rFonts w:ascii="Times New Roman" w:hAnsi="Times New Roman" w:cs="Times New Roman"/>
          <w:sz w:val="28"/>
          <w:szCs w:val="28"/>
          <w:lang w:val="uk-UA"/>
        </w:rPr>
      </w:pPr>
    </w:p>
    <w:p w:rsidR="003C3F2B" w:rsidRDefault="003C3F2B" w:rsidP="0009787F">
      <w:pPr>
        <w:spacing w:line="240" w:lineRule="auto"/>
        <w:ind w:firstLine="851"/>
        <w:rPr>
          <w:rFonts w:ascii="Times New Roman" w:hAnsi="Times New Roman" w:cs="Times New Roman"/>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006"/>
      </w:tblGrid>
      <w:tr w:rsidR="00FD4F11" w:rsidTr="009A5440">
        <w:tc>
          <w:tcPr>
            <w:tcW w:w="4673" w:type="dxa"/>
          </w:tcPr>
          <w:p w:rsidR="00FD4F11" w:rsidRPr="00FD4F11" w:rsidRDefault="00FD4F11" w:rsidP="009A5440">
            <w:pPr>
              <w:jc w:val="both"/>
              <w:rPr>
                <w:rFonts w:ascii="Times New Roman" w:eastAsia="Times New Roman" w:hAnsi="Times New Roman" w:cs="Times New Roman"/>
                <w:sz w:val="28"/>
                <w:szCs w:val="28"/>
                <w:lang w:val="uk-UA" w:eastAsia="ru-RU"/>
              </w:rPr>
            </w:pPr>
            <w:r w:rsidRPr="006F3B0D">
              <w:rPr>
                <w:rFonts w:ascii="Times New Roman" w:eastAsia="Times New Roman" w:hAnsi="Times New Roman" w:cs="Times New Roman"/>
                <w:b/>
                <w:sz w:val="28"/>
                <w:szCs w:val="28"/>
                <w:lang w:val="uk-UA" w:eastAsia="ru-RU"/>
              </w:rPr>
              <w:t>Начальник управління інвестицій, міжнародної співпраці, охорони довкілля, енергоефективності та кліматичної</w:t>
            </w:r>
            <w:r>
              <w:rPr>
                <w:rFonts w:ascii="Times New Roman" w:eastAsia="Times New Roman" w:hAnsi="Times New Roman" w:cs="Times New Roman"/>
                <w:b/>
                <w:sz w:val="28"/>
                <w:szCs w:val="28"/>
                <w:lang w:val="uk-UA" w:eastAsia="ru-RU"/>
              </w:rPr>
              <w:t xml:space="preserve"> </w:t>
            </w:r>
            <w:r w:rsidRPr="006F3B0D">
              <w:rPr>
                <w:rFonts w:ascii="Times New Roman" w:eastAsia="Times New Roman" w:hAnsi="Times New Roman" w:cs="Times New Roman"/>
                <w:b/>
                <w:sz w:val="28"/>
                <w:szCs w:val="28"/>
                <w:lang w:val="uk-UA" w:eastAsia="ru-RU"/>
              </w:rPr>
              <w:t>політики Сумської міської ради</w:t>
            </w:r>
          </w:p>
        </w:tc>
        <w:tc>
          <w:tcPr>
            <w:tcW w:w="5006" w:type="dxa"/>
          </w:tcPr>
          <w:p w:rsidR="00FD4F11" w:rsidRDefault="00FD4F11" w:rsidP="009A5440">
            <w:pPr>
              <w:rPr>
                <w:rFonts w:ascii="Times New Roman" w:eastAsia="Times New Roman" w:hAnsi="Times New Roman" w:cs="Times New Roman"/>
                <w:b/>
                <w:sz w:val="28"/>
                <w:szCs w:val="28"/>
                <w:lang w:val="uk-UA" w:eastAsia="ru-RU"/>
              </w:rPr>
            </w:pPr>
          </w:p>
          <w:p w:rsidR="00FD4F11" w:rsidRDefault="00FD4F11" w:rsidP="009A5440">
            <w:pPr>
              <w:rPr>
                <w:rFonts w:ascii="Times New Roman" w:eastAsia="Times New Roman" w:hAnsi="Times New Roman" w:cs="Times New Roman"/>
                <w:b/>
                <w:sz w:val="28"/>
                <w:szCs w:val="28"/>
                <w:lang w:val="uk-UA" w:eastAsia="ru-RU"/>
              </w:rPr>
            </w:pPr>
          </w:p>
          <w:p w:rsidR="00FD4F11" w:rsidRDefault="00FD4F11" w:rsidP="009A5440">
            <w:pPr>
              <w:rPr>
                <w:rFonts w:ascii="Times New Roman" w:eastAsia="Times New Roman" w:hAnsi="Times New Roman" w:cs="Times New Roman"/>
                <w:b/>
                <w:sz w:val="28"/>
                <w:szCs w:val="28"/>
                <w:lang w:val="uk-UA" w:eastAsia="ru-RU"/>
              </w:rPr>
            </w:pPr>
          </w:p>
          <w:p w:rsidR="00FD4F11" w:rsidRDefault="00FD4F11" w:rsidP="009A5440">
            <w:pPr>
              <w:rPr>
                <w:rFonts w:ascii="Times New Roman" w:eastAsia="Times New Roman" w:hAnsi="Times New Roman" w:cs="Times New Roman"/>
                <w:b/>
                <w:sz w:val="28"/>
                <w:szCs w:val="28"/>
                <w:lang w:val="uk-UA" w:eastAsia="ru-RU"/>
              </w:rPr>
            </w:pPr>
          </w:p>
          <w:p w:rsidR="00FD4F11" w:rsidRDefault="00FD4F11" w:rsidP="009A5440">
            <w:pPr>
              <w:jc w:val="right"/>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uk-UA" w:eastAsia="ru-RU"/>
              </w:rPr>
              <w:t>Анастасія ТКАЧОВА</w:t>
            </w:r>
          </w:p>
        </w:tc>
      </w:tr>
    </w:tbl>
    <w:p w:rsidR="00FD4F11" w:rsidRPr="00895A3C" w:rsidRDefault="00FD4F11" w:rsidP="0009787F">
      <w:pPr>
        <w:spacing w:line="240" w:lineRule="auto"/>
        <w:ind w:firstLine="851"/>
        <w:rPr>
          <w:rFonts w:ascii="Times New Roman" w:hAnsi="Times New Roman" w:cs="Times New Roman"/>
          <w:sz w:val="28"/>
          <w:szCs w:val="28"/>
          <w:lang w:val="uk-UA"/>
        </w:rPr>
      </w:pPr>
    </w:p>
    <w:sectPr w:rsidR="00FD4F11" w:rsidRPr="00895A3C" w:rsidSect="005A1336">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2F" w:rsidRDefault="00FE672F" w:rsidP="0070701B">
      <w:pPr>
        <w:spacing w:after="0" w:line="240" w:lineRule="auto"/>
      </w:pPr>
      <w:r>
        <w:separator/>
      </w:r>
    </w:p>
  </w:endnote>
  <w:endnote w:type="continuationSeparator" w:id="0">
    <w:p w:rsidR="00FE672F" w:rsidRDefault="00FE672F" w:rsidP="0070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2F" w:rsidRDefault="00FE672F" w:rsidP="0070701B">
      <w:pPr>
        <w:spacing w:after="0" w:line="240" w:lineRule="auto"/>
      </w:pPr>
      <w:r>
        <w:separator/>
      </w:r>
    </w:p>
  </w:footnote>
  <w:footnote w:type="continuationSeparator" w:id="0">
    <w:p w:rsidR="00FE672F" w:rsidRDefault="00FE672F" w:rsidP="0070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96C9F"/>
    <w:multiLevelType w:val="hybridMultilevel"/>
    <w:tmpl w:val="1CC8729A"/>
    <w:lvl w:ilvl="0" w:tplc="9AA67FE0">
      <w:start w:val="1"/>
      <w:numFmt w:val="decimal"/>
      <w:lvlText w:val="%1."/>
      <w:lvlJc w:val="left"/>
      <w:pPr>
        <w:ind w:left="1359" w:hanging="360"/>
      </w:pPr>
      <w:rPr>
        <w:rFonts w:hint="default"/>
      </w:rPr>
    </w:lvl>
    <w:lvl w:ilvl="1" w:tplc="04220019" w:tentative="1">
      <w:start w:val="1"/>
      <w:numFmt w:val="lowerLetter"/>
      <w:lvlText w:val="%2."/>
      <w:lvlJc w:val="left"/>
      <w:pPr>
        <w:ind w:left="2079" w:hanging="360"/>
      </w:pPr>
    </w:lvl>
    <w:lvl w:ilvl="2" w:tplc="0422001B" w:tentative="1">
      <w:start w:val="1"/>
      <w:numFmt w:val="lowerRoman"/>
      <w:lvlText w:val="%3."/>
      <w:lvlJc w:val="right"/>
      <w:pPr>
        <w:ind w:left="2799" w:hanging="180"/>
      </w:pPr>
    </w:lvl>
    <w:lvl w:ilvl="3" w:tplc="0422000F" w:tentative="1">
      <w:start w:val="1"/>
      <w:numFmt w:val="decimal"/>
      <w:lvlText w:val="%4."/>
      <w:lvlJc w:val="left"/>
      <w:pPr>
        <w:ind w:left="3519" w:hanging="360"/>
      </w:pPr>
    </w:lvl>
    <w:lvl w:ilvl="4" w:tplc="04220019" w:tentative="1">
      <w:start w:val="1"/>
      <w:numFmt w:val="lowerLetter"/>
      <w:lvlText w:val="%5."/>
      <w:lvlJc w:val="left"/>
      <w:pPr>
        <w:ind w:left="4239" w:hanging="360"/>
      </w:pPr>
    </w:lvl>
    <w:lvl w:ilvl="5" w:tplc="0422001B" w:tentative="1">
      <w:start w:val="1"/>
      <w:numFmt w:val="lowerRoman"/>
      <w:lvlText w:val="%6."/>
      <w:lvlJc w:val="right"/>
      <w:pPr>
        <w:ind w:left="4959" w:hanging="180"/>
      </w:pPr>
    </w:lvl>
    <w:lvl w:ilvl="6" w:tplc="0422000F" w:tentative="1">
      <w:start w:val="1"/>
      <w:numFmt w:val="decimal"/>
      <w:lvlText w:val="%7."/>
      <w:lvlJc w:val="left"/>
      <w:pPr>
        <w:ind w:left="5679" w:hanging="360"/>
      </w:pPr>
    </w:lvl>
    <w:lvl w:ilvl="7" w:tplc="04220019" w:tentative="1">
      <w:start w:val="1"/>
      <w:numFmt w:val="lowerLetter"/>
      <w:lvlText w:val="%8."/>
      <w:lvlJc w:val="left"/>
      <w:pPr>
        <w:ind w:left="6399" w:hanging="360"/>
      </w:pPr>
    </w:lvl>
    <w:lvl w:ilvl="8" w:tplc="0422001B" w:tentative="1">
      <w:start w:val="1"/>
      <w:numFmt w:val="lowerRoman"/>
      <w:lvlText w:val="%9."/>
      <w:lvlJc w:val="right"/>
      <w:pPr>
        <w:ind w:left="71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0A"/>
    <w:rsid w:val="00080680"/>
    <w:rsid w:val="00087DA4"/>
    <w:rsid w:val="0009787F"/>
    <w:rsid w:val="000E227B"/>
    <w:rsid w:val="00107D9B"/>
    <w:rsid w:val="0012266A"/>
    <w:rsid w:val="0029027A"/>
    <w:rsid w:val="002C1419"/>
    <w:rsid w:val="002E7C04"/>
    <w:rsid w:val="002F5BFD"/>
    <w:rsid w:val="00385DFE"/>
    <w:rsid w:val="003C0289"/>
    <w:rsid w:val="003C3F2B"/>
    <w:rsid w:val="0043039B"/>
    <w:rsid w:val="004568B8"/>
    <w:rsid w:val="00480780"/>
    <w:rsid w:val="004807B6"/>
    <w:rsid w:val="00485AD0"/>
    <w:rsid w:val="004E5996"/>
    <w:rsid w:val="00506E67"/>
    <w:rsid w:val="00534CBB"/>
    <w:rsid w:val="00556000"/>
    <w:rsid w:val="005A1336"/>
    <w:rsid w:val="005D0FDF"/>
    <w:rsid w:val="006219F9"/>
    <w:rsid w:val="00647BE1"/>
    <w:rsid w:val="0065264F"/>
    <w:rsid w:val="006F3B0D"/>
    <w:rsid w:val="0070701B"/>
    <w:rsid w:val="00727D4B"/>
    <w:rsid w:val="007E3E12"/>
    <w:rsid w:val="00812086"/>
    <w:rsid w:val="00890F7A"/>
    <w:rsid w:val="00895A3C"/>
    <w:rsid w:val="00902FDD"/>
    <w:rsid w:val="009351CB"/>
    <w:rsid w:val="00984070"/>
    <w:rsid w:val="009E22CF"/>
    <w:rsid w:val="009F2D04"/>
    <w:rsid w:val="00A00D94"/>
    <w:rsid w:val="00A07576"/>
    <w:rsid w:val="00A72EFA"/>
    <w:rsid w:val="00A84CCA"/>
    <w:rsid w:val="00AF085B"/>
    <w:rsid w:val="00B06D3B"/>
    <w:rsid w:val="00B23C99"/>
    <w:rsid w:val="00B72C64"/>
    <w:rsid w:val="00BC4A0A"/>
    <w:rsid w:val="00BE66DF"/>
    <w:rsid w:val="00C030A1"/>
    <w:rsid w:val="00C11664"/>
    <w:rsid w:val="00C1638A"/>
    <w:rsid w:val="00C17471"/>
    <w:rsid w:val="00C665E7"/>
    <w:rsid w:val="00C91EB2"/>
    <w:rsid w:val="00CC626D"/>
    <w:rsid w:val="00CD2781"/>
    <w:rsid w:val="00CD62B8"/>
    <w:rsid w:val="00D11102"/>
    <w:rsid w:val="00D210E0"/>
    <w:rsid w:val="00E56B71"/>
    <w:rsid w:val="00E66FBA"/>
    <w:rsid w:val="00EA1120"/>
    <w:rsid w:val="00EE319C"/>
    <w:rsid w:val="00F03AB9"/>
    <w:rsid w:val="00F27D86"/>
    <w:rsid w:val="00F77623"/>
    <w:rsid w:val="00FD4F11"/>
    <w:rsid w:val="00FE672F"/>
    <w:rsid w:val="00FF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9FF2C"/>
  <w15:chartTrackingRefBased/>
  <w15:docId w15:val="{A7861829-7ED4-453A-8C38-4261233E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F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568B8"/>
  </w:style>
  <w:style w:type="paragraph" w:customStyle="1" w:styleId="rvps2">
    <w:name w:val="rvps2"/>
    <w:basedOn w:val="a"/>
    <w:rsid w:val="004568B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4568B8"/>
    <w:rPr>
      <w:color w:val="0000FF"/>
      <w:u w:val="single"/>
    </w:rPr>
  </w:style>
  <w:style w:type="character" w:styleId="a4">
    <w:name w:val="FollowedHyperlink"/>
    <w:basedOn w:val="a0"/>
    <w:uiPriority w:val="99"/>
    <w:semiHidden/>
    <w:unhideWhenUsed/>
    <w:rsid w:val="0029027A"/>
    <w:rPr>
      <w:color w:val="954F72" w:themeColor="followedHyperlink"/>
      <w:u w:val="single"/>
    </w:rPr>
  </w:style>
  <w:style w:type="paragraph" w:styleId="a5">
    <w:name w:val="header"/>
    <w:basedOn w:val="a"/>
    <w:link w:val="a6"/>
    <w:uiPriority w:val="99"/>
    <w:unhideWhenUsed/>
    <w:rsid w:val="0070701B"/>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70701B"/>
  </w:style>
  <w:style w:type="paragraph" w:styleId="a7">
    <w:name w:val="footer"/>
    <w:basedOn w:val="a"/>
    <w:link w:val="a8"/>
    <w:uiPriority w:val="99"/>
    <w:unhideWhenUsed/>
    <w:rsid w:val="0070701B"/>
    <w:pPr>
      <w:tabs>
        <w:tab w:val="center" w:pos="4844"/>
        <w:tab w:val="right" w:pos="9689"/>
      </w:tabs>
      <w:spacing w:after="0" w:line="240" w:lineRule="auto"/>
    </w:pPr>
  </w:style>
  <w:style w:type="character" w:customStyle="1" w:styleId="a8">
    <w:name w:val="Нижний колонтитул Знак"/>
    <w:basedOn w:val="a0"/>
    <w:link w:val="a7"/>
    <w:uiPriority w:val="99"/>
    <w:rsid w:val="0070701B"/>
  </w:style>
  <w:style w:type="paragraph" w:styleId="a9">
    <w:name w:val="Balloon Text"/>
    <w:basedOn w:val="a"/>
    <w:link w:val="aa"/>
    <w:uiPriority w:val="99"/>
    <w:semiHidden/>
    <w:unhideWhenUsed/>
    <w:rsid w:val="00FF2A9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F2A9B"/>
    <w:rPr>
      <w:rFonts w:ascii="Segoe UI" w:hAnsi="Segoe UI" w:cs="Segoe UI"/>
      <w:sz w:val="18"/>
      <w:szCs w:val="18"/>
    </w:rPr>
  </w:style>
  <w:style w:type="table" w:styleId="ab">
    <w:name w:val="Table Grid"/>
    <w:basedOn w:val="a1"/>
    <w:uiPriority w:val="39"/>
    <w:rsid w:val="00FD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53943">
      <w:bodyDiv w:val="1"/>
      <w:marLeft w:val="0"/>
      <w:marRight w:val="0"/>
      <w:marTop w:val="0"/>
      <w:marBottom w:val="0"/>
      <w:divBdr>
        <w:top w:val="none" w:sz="0" w:space="0" w:color="auto"/>
        <w:left w:val="none" w:sz="0" w:space="0" w:color="auto"/>
        <w:bottom w:val="none" w:sz="0" w:space="0" w:color="auto"/>
        <w:right w:val="none" w:sz="0" w:space="0" w:color="auto"/>
      </w:divBdr>
    </w:div>
    <w:div w:id="18881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84-201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3923</Words>
  <Characters>22362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Левицька Аліна Сергіївна</dc:creator>
  <cp:keywords/>
  <dc:description/>
  <cp:lastModifiedBy>Левицька Аліна Сергіївна</cp:lastModifiedBy>
  <cp:revision>25</cp:revision>
  <cp:lastPrinted>2026-05-06T06:36:00Z</cp:lastPrinted>
  <dcterms:created xsi:type="dcterms:W3CDTF">2026-02-26T13:01:00Z</dcterms:created>
  <dcterms:modified xsi:type="dcterms:W3CDTF">2026-05-28T11:57:00Z</dcterms:modified>
</cp:coreProperties>
</file>