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1" w:type="dxa"/>
        <w:jc w:val="center"/>
        <w:tblLayout w:type="fixed"/>
        <w:tblLook w:val="01E0" w:firstRow="1" w:lastRow="1" w:firstColumn="1" w:lastColumn="1" w:noHBand="0" w:noVBand="0"/>
      </w:tblPr>
      <w:tblGrid>
        <w:gridCol w:w="4175"/>
        <w:gridCol w:w="222"/>
        <w:gridCol w:w="990"/>
        <w:gridCol w:w="4374"/>
      </w:tblGrid>
      <w:tr w:rsidR="00016A2F" w:rsidRPr="004E5996" w:rsidTr="005F0E01">
        <w:trPr>
          <w:cantSplit/>
          <w:trHeight w:val="20"/>
          <w:jc w:val="center"/>
        </w:trPr>
        <w:tc>
          <w:tcPr>
            <w:tcW w:w="4175" w:type="dxa"/>
            <w:shd w:val="clear" w:color="auto" w:fill="auto"/>
          </w:tcPr>
          <w:p w:rsidR="00016A2F" w:rsidRPr="004E5996" w:rsidRDefault="00016A2F" w:rsidP="005F0E0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12" w:type="dxa"/>
            <w:gridSpan w:val="2"/>
            <w:shd w:val="clear" w:color="auto" w:fill="auto"/>
          </w:tcPr>
          <w:p w:rsidR="00016A2F" w:rsidRPr="004E5996" w:rsidRDefault="00016A2F" w:rsidP="005F0E0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4F5EAA" wp14:editId="54EF9744">
                  <wp:extent cx="431800" cy="59245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shd w:val="clear" w:color="auto" w:fill="auto"/>
          </w:tcPr>
          <w:p w:rsidR="00016A2F" w:rsidRDefault="00016A2F" w:rsidP="005F0E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C1EEA" w:rsidRPr="004E5996" w:rsidRDefault="000C1EEA" w:rsidP="005F0E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6A2F" w:rsidRPr="00DA5823" w:rsidTr="005F0E01">
        <w:trPr>
          <w:jc w:val="center"/>
        </w:trPr>
        <w:tc>
          <w:tcPr>
            <w:tcW w:w="9761" w:type="dxa"/>
            <w:gridSpan w:val="4"/>
            <w:shd w:val="clear" w:color="auto" w:fill="auto"/>
          </w:tcPr>
          <w:p w:rsidR="00016A2F" w:rsidRPr="004E5996" w:rsidRDefault="00016A2F" w:rsidP="005F0E0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sz w:val="36"/>
                <w:szCs w:val="28"/>
                <w:lang w:val="uk-UA" w:eastAsia="ru-RU"/>
              </w:rPr>
              <w:t>Сумська міська рада</w:t>
            </w:r>
          </w:p>
          <w:p w:rsidR="00016A2F" w:rsidRPr="004E5996" w:rsidRDefault="00016A2F" w:rsidP="005F0E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Виконавчий комітет</w:t>
            </w:r>
          </w:p>
          <w:p w:rsidR="00016A2F" w:rsidRPr="004E5996" w:rsidRDefault="00016A2F" w:rsidP="005F0E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uk-UA" w:eastAsia="ru-RU"/>
              </w:rPr>
            </w:pPr>
            <w:r w:rsidRPr="004E59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 w:eastAsia="ru-RU"/>
              </w:rPr>
              <w:t>РІШЕННЯ</w:t>
            </w:r>
          </w:p>
        </w:tc>
      </w:tr>
      <w:tr w:rsidR="00016A2F" w:rsidRPr="00DA5823" w:rsidTr="005F0E01">
        <w:tblPrEx>
          <w:jc w:val="left"/>
        </w:tblPrEx>
        <w:trPr>
          <w:gridAfter w:val="2"/>
          <w:wAfter w:w="5364" w:type="dxa"/>
          <w:trHeight w:val="1352"/>
        </w:trPr>
        <w:tc>
          <w:tcPr>
            <w:tcW w:w="4397" w:type="dxa"/>
            <w:gridSpan w:val="2"/>
          </w:tcPr>
          <w:p w:rsidR="00016A2F" w:rsidRPr="00C91EB2" w:rsidRDefault="00016A2F" w:rsidP="00DB4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016A2F" w:rsidRPr="00971C47" w:rsidRDefault="00016A2F" w:rsidP="00DB4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  <w:r w:rsidRPr="00971C4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від </w:t>
            </w:r>
            <w:r w:rsidR="00DA58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>22.05.2026</w:t>
            </w:r>
            <w:r w:rsidRPr="00971C4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 xml:space="preserve"> № </w:t>
            </w:r>
            <w:r w:rsidR="00DA582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  <w:t>1450</w:t>
            </w:r>
          </w:p>
          <w:p w:rsidR="00016A2F" w:rsidRPr="00971C47" w:rsidRDefault="00016A2F" w:rsidP="00DB4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ru-RU"/>
              </w:rPr>
            </w:pPr>
          </w:p>
          <w:p w:rsidR="00016A2F" w:rsidRPr="00971C47" w:rsidRDefault="00016A2F" w:rsidP="003A2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bookmarkStart w:id="0" w:name="_Hlk212138620"/>
            <w:r w:rsidR="00562F0E"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деякі питання</w:t>
            </w:r>
            <w:r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bookmarkEnd w:id="0"/>
            <w:r w:rsidR="003A2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підготовки, оцінки</w:t>
            </w:r>
            <w:r w:rsidR="006801C7"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відбору та </w:t>
            </w:r>
            <w:r w:rsidR="009D7883"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реалізації публічних інвестицій</w:t>
            </w:r>
            <w:r w:rsidR="006801C7"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них </w:t>
            </w:r>
            <w:proofErr w:type="spellStart"/>
            <w:r w:rsidR="006801C7"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="006801C7"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програм публічних інвестицій</w:t>
            </w:r>
            <w:r w:rsidR="009D7883" w:rsidRPr="00971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Сумської міської територіальної громади</w:t>
            </w:r>
          </w:p>
        </w:tc>
      </w:tr>
    </w:tbl>
    <w:p w:rsidR="00016A2F" w:rsidRPr="00971C47" w:rsidRDefault="00016A2F" w:rsidP="00DB49D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7883" w:rsidRDefault="009D7883" w:rsidP="00DB4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метою впровадження ефективного механізму планування та реалізації пріоритетних публічних інвестицій, забезпечення відкритості та прозорості в управлінні бюджетними ресурсами, відповідно до ст</w:t>
      </w:r>
      <w:r w:rsidR="00F923E7"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атті</w:t>
      </w:r>
      <w:r w:rsidR="00EB1AED"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75</w:t>
      </w:r>
      <w:r w:rsidRPr="006801C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Бюджетного кодексу України, враховуючи </w:t>
      </w:r>
      <w:r w:rsidR="006801C7"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постанову Кабінету Міністрів України від 28.02.2025 № 527 «Деякі питання управління публічними інвестиціями» (зі змінами)</w:t>
      </w:r>
      <w:r w:rsidR="00F26389"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керуючись </w:t>
      </w:r>
      <w:r w:rsidR="00FA55D6"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підпунктом</w:t>
      </w:r>
      <w:r w:rsidR="00282E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3 пункту «б» статті 28</w:t>
      </w:r>
      <w:r w:rsidR="00927D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282E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стат</w:t>
      </w:r>
      <w:r w:rsidR="000002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</w:t>
      </w:r>
      <w:r w:rsidR="00927D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ею</w:t>
      </w:r>
      <w:r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27D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52 та</w:t>
      </w:r>
      <w:r w:rsidR="003120EB"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частиною шостою статті 59 </w:t>
      </w:r>
      <w:r w:rsidRPr="006801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="003120EB" w:rsidRPr="006801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Сумської міської ради</w:t>
      </w:r>
      <w:r w:rsidR="003120EB" w:rsidRPr="006801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120EB" w:rsidRPr="004E5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D7883" w:rsidRDefault="009D7883" w:rsidP="00DB4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16A2F" w:rsidRPr="004E5996" w:rsidRDefault="00016A2F" w:rsidP="00DB49D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E59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:rsidR="00016A2F" w:rsidRPr="002D4661" w:rsidRDefault="00016A2F" w:rsidP="00DB49D0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801C7" w:rsidRDefault="006801C7" w:rsidP="00DB49D0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Затвердити:</w:t>
      </w:r>
    </w:p>
    <w:p w:rsidR="006801C7" w:rsidRDefault="006801C7" w:rsidP="00DB49D0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49D0" w:rsidRDefault="006801C7" w:rsidP="00DB49D0">
      <w:pPr>
        <w:pStyle w:val="a3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</w:t>
      </w:r>
      <w:r w:rsidRPr="00680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підготовки публічних інвестиційних </w:t>
      </w:r>
      <w:proofErr w:type="spellStart"/>
      <w:r w:rsidRPr="00680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80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програм публічних інвестицій Сумської міської територіальної громади</w:t>
      </w:r>
      <w:r w:rsidR="00FA55D6" w:rsidRPr="00680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43E6B" w:rsidRPr="00680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– Порядок) </w:t>
      </w:r>
      <w:r w:rsidR="00016A2F" w:rsidRPr="006801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з додатком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</w:t>
      </w:r>
      <w:r w:rsid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даного рішення.</w:t>
      </w:r>
    </w:p>
    <w:p w:rsidR="00DB49D0" w:rsidRPr="00DB49D0" w:rsidRDefault="00DB49D0" w:rsidP="00DB49D0">
      <w:pPr>
        <w:pStyle w:val="a3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70BDB" w:rsidRDefault="00370BDB" w:rsidP="00DB49D0">
      <w:pPr>
        <w:pStyle w:val="a3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оцінки публічних інвестиційних </w:t>
      </w:r>
      <w:proofErr w:type="spellStart"/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програм публічних інвестицій Сумської міської територіальної громади (далі – Порядок) згідно з додатком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</w:t>
      </w: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</w:t>
      </w:r>
      <w:r w:rsid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даного</w:t>
      </w: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0BDB" w:rsidRPr="00370BDB" w:rsidRDefault="00370BDB" w:rsidP="00DB4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801C7" w:rsidRDefault="00370BDB" w:rsidP="00DB49D0">
      <w:pPr>
        <w:pStyle w:val="a3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формування Єдиного </w:t>
      </w:r>
      <w:proofErr w:type="spellStart"/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проєктного</w:t>
      </w:r>
      <w:proofErr w:type="spellEnd"/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портфеля публічних інвестицій і галузевого (секторального) </w:t>
      </w:r>
      <w:proofErr w:type="spellStart"/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проєктного</w:t>
      </w:r>
      <w:proofErr w:type="spellEnd"/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портфеля Сумської міської територіальної громади (далі – Порядок)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 </w:t>
      </w: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</w:t>
      </w:r>
      <w:r w:rsid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даного </w:t>
      </w: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0BDB" w:rsidRPr="00370BDB" w:rsidRDefault="00370BDB" w:rsidP="00DB49D0">
      <w:pPr>
        <w:pStyle w:val="a3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70BDB" w:rsidRPr="00DB49D0" w:rsidRDefault="00370BDB" w:rsidP="00DB49D0">
      <w:pPr>
        <w:pStyle w:val="a3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Порядок </w:t>
      </w: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реалізації публічних інвестиційних </w:t>
      </w:r>
      <w:proofErr w:type="spellStart"/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програм публічних інвестицій Сумської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– Порядок)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 </w:t>
      </w: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</w:t>
      </w:r>
      <w:r w:rsid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даного</w:t>
      </w:r>
      <w:r w:rsidRPr="00370B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</w:t>
      </w:r>
      <w:r w:rsid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B49D0" w:rsidRDefault="00447D27" w:rsidP="00DB49D0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9D0">
        <w:rPr>
          <w:rFonts w:ascii="Times New Roman" w:hAnsi="Times New Roman" w:cs="Times New Roman"/>
          <w:sz w:val="28"/>
          <w:szCs w:val="28"/>
          <w:lang w:val="uk-UA"/>
        </w:rPr>
        <w:t>Департаменту фінансів Сумської міської ради (Лариса СКИРТАЧ)</w:t>
      </w:r>
      <w:r w:rsidR="00173668" w:rsidRPr="00DB49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49D0" w:rsidRP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D46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B49D0" w:rsidRPr="00DB49D0">
        <w:rPr>
          <w:rFonts w:ascii="Times New Roman" w:hAnsi="Times New Roman" w:cs="Times New Roman"/>
          <w:sz w:val="28"/>
          <w:szCs w:val="28"/>
          <w:lang w:val="uk-UA"/>
        </w:rPr>
        <w:t>правлінню інвестицій, міжнародної співпраці, охорони довкілля, енергоефективності та кліматичної політики Сумської міської ради (Анастасія ТКАЧОВА),</w:t>
      </w:r>
      <w:r w:rsidRPr="00DB4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9D0" w:rsidRPr="00DB49D0">
        <w:rPr>
          <w:rFonts w:ascii="Times New Roman" w:hAnsi="Times New Roman" w:cs="Times New Roman"/>
          <w:sz w:val="28"/>
          <w:szCs w:val="28"/>
          <w:lang w:val="uk-UA"/>
        </w:rPr>
        <w:t>виконавчим органам Сумської міської ради, відповідальни</w:t>
      </w:r>
      <w:r w:rsidR="006371A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B49D0" w:rsidRPr="00DB49D0">
        <w:rPr>
          <w:rFonts w:ascii="Times New Roman" w:hAnsi="Times New Roman" w:cs="Times New Roman"/>
          <w:sz w:val="28"/>
          <w:szCs w:val="28"/>
          <w:lang w:val="uk-UA"/>
        </w:rPr>
        <w:t xml:space="preserve"> за галузі (сектори) для здійснення публічного інвестування Сумської міської територіальної громади та виконавчим органам Сумської міської ради, відповідальни</w:t>
      </w:r>
      <w:r w:rsidR="006371A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B49D0" w:rsidRPr="00DB49D0">
        <w:rPr>
          <w:rFonts w:ascii="Times New Roman" w:hAnsi="Times New Roman" w:cs="Times New Roman"/>
          <w:sz w:val="28"/>
          <w:szCs w:val="28"/>
          <w:lang w:val="uk-UA"/>
        </w:rPr>
        <w:t xml:space="preserve"> за проведення експертної оцінки публічних інвестиційних </w:t>
      </w:r>
      <w:proofErr w:type="spellStart"/>
      <w:r w:rsidR="00DB49D0" w:rsidRPr="00DB49D0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DB49D0" w:rsidRPr="00DB49D0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інвестицій, визначених </w:t>
      </w:r>
      <w:r w:rsidR="006371A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 </w:t>
      </w:r>
      <w:r w:rsidR="00DB49D0" w:rsidRPr="00DB49D0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A319D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B49D0" w:rsidRPr="00DB49D0">
        <w:rPr>
          <w:rFonts w:ascii="Times New Roman" w:hAnsi="Times New Roman" w:cs="Times New Roman"/>
          <w:sz w:val="28"/>
          <w:szCs w:val="28"/>
          <w:lang w:val="uk-UA"/>
        </w:rPr>
        <w:t xml:space="preserve">иконавчого комітету Сумської міської ради </w:t>
      </w:r>
      <w:r w:rsidR="00173668" w:rsidRP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реалізацію положень Порядк</w:t>
      </w:r>
      <w:r w:rsid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54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D116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зазначених в пункті</w:t>
      </w:r>
      <w:r w:rsidR="00B470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116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 цього </w:t>
      </w:r>
      <w:r w:rsid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</w:t>
      </w:r>
      <w:r w:rsidR="00016A2F" w:rsidRPr="00DB4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16A2F" w:rsidRPr="00DB49D0" w:rsidRDefault="004164E5" w:rsidP="00DB49D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К</w:t>
      </w:r>
      <w:r w:rsidRPr="00DB4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онтроль за виконанням </w:t>
      </w:r>
      <w:r w:rsidR="00173668" w:rsidRPr="00DB49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даного рішення покласти на заступників міського голови згідно з розподілом обов’язків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016A2F" w:rsidRDefault="00016A2F" w:rsidP="00173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6A2F" w:rsidRDefault="00016A2F" w:rsidP="00016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3668" w:rsidRDefault="00173668" w:rsidP="00016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6A2F" w:rsidRDefault="00016A2F" w:rsidP="00016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6A2F" w:rsidRPr="004E5996" w:rsidRDefault="00016A2F" w:rsidP="00016A2F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Сумської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975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975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975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975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Артем</w:t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КОБ</w:t>
      </w:r>
      <w:r w:rsidR="000975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Pr="004E59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</w:t>
      </w:r>
    </w:p>
    <w:p w:rsidR="00016A2F" w:rsidRPr="004E5996" w:rsidRDefault="00016A2F" w:rsidP="00016A2F">
      <w:pPr>
        <w:keepNext/>
        <w:pBdr>
          <w:bottom w:val="single" w:sz="12" w:space="1" w:color="auto"/>
        </w:pBdr>
        <w:tabs>
          <w:tab w:val="left" w:pos="40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val="uk-UA" w:eastAsia="ru-RU"/>
        </w:rPr>
        <w:t>Ткачова А.І.</w:t>
      </w:r>
    </w:p>
    <w:p w:rsidR="009C1396" w:rsidRDefault="00016A2F" w:rsidP="00016A2F">
      <w:pPr>
        <w:rPr>
          <w:rFonts w:ascii="Times New Roman" w:eastAsia="Times New Roman" w:hAnsi="Times New Roman" w:cs="Times New Roman"/>
          <w:lang w:val="uk-UA" w:eastAsia="ru-RU"/>
        </w:rPr>
      </w:pPr>
      <w:r w:rsidRPr="004E5996">
        <w:rPr>
          <w:rFonts w:ascii="Times New Roman" w:eastAsia="Times New Roman" w:hAnsi="Times New Roman" w:cs="Times New Roman"/>
          <w:lang w:val="uk-UA" w:eastAsia="ru-RU"/>
        </w:rPr>
        <w:t>Розіслати: згідно зі списком розсилки</w:t>
      </w:r>
    </w:p>
    <w:p w:rsidR="00447D27" w:rsidRDefault="00447D27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447D27" w:rsidRDefault="00447D27" w:rsidP="00016A2F">
      <w:pPr>
        <w:rPr>
          <w:rFonts w:ascii="Times New Roman" w:eastAsia="Times New Roman" w:hAnsi="Times New Roman" w:cs="Times New Roman"/>
          <w:lang w:val="uk-UA" w:eastAsia="ru-RU"/>
        </w:rPr>
      </w:pPr>
    </w:p>
    <w:p w:rsidR="00447D27" w:rsidRDefault="00447D27" w:rsidP="00016A2F">
      <w:pPr>
        <w:rPr>
          <w:lang w:val="ru-RU"/>
        </w:rPr>
      </w:pPr>
    </w:p>
    <w:p w:rsidR="00D9762E" w:rsidRDefault="00D9762E" w:rsidP="00016A2F">
      <w:pPr>
        <w:rPr>
          <w:lang w:val="ru-RU"/>
        </w:rPr>
      </w:pPr>
    </w:p>
    <w:p w:rsidR="00D9762E" w:rsidRDefault="00D9762E" w:rsidP="00016A2F">
      <w:pPr>
        <w:rPr>
          <w:lang w:val="ru-RU"/>
        </w:rPr>
      </w:pPr>
    </w:p>
    <w:p w:rsidR="00D9762E" w:rsidRDefault="00D9762E" w:rsidP="00016A2F">
      <w:pPr>
        <w:rPr>
          <w:lang w:val="ru-RU"/>
        </w:rPr>
      </w:pPr>
    </w:p>
    <w:p w:rsidR="006371A9" w:rsidRDefault="006371A9" w:rsidP="00016A2F">
      <w:pPr>
        <w:rPr>
          <w:lang w:val="ru-RU"/>
        </w:rPr>
      </w:pPr>
    </w:p>
    <w:p w:rsidR="004164E5" w:rsidRDefault="004164E5" w:rsidP="00016A2F">
      <w:pPr>
        <w:rPr>
          <w:lang w:val="ru-RU"/>
        </w:rPr>
      </w:pPr>
    </w:p>
    <w:p w:rsidR="00D9762E" w:rsidRDefault="00D9762E" w:rsidP="00016A2F">
      <w:pPr>
        <w:rPr>
          <w:lang w:val="ru-RU"/>
        </w:rPr>
      </w:pPr>
    </w:p>
    <w:p w:rsidR="00D9762E" w:rsidRDefault="00D9762E" w:rsidP="00016A2F">
      <w:pPr>
        <w:rPr>
          <w:lang w:val="ru-RU"/>
        </w:rPr>
      </w:pPr>
    </w:p>
    <w:p w:rsidR="00D90215" w:rsidRDefault="00D90215" w:rsidP="00016A2F">
      <w:pPr>
        <w:rPr>
          <w:lang w:val="ru-RU"/>
        </w:rPr>
      </w:pPr>
    </w:p>
    <w:p w:rsidR="00D90215" w:rsidRDefault="00D90215" w:rsidP="00016A2F">
      <w:pPr>
        <w:rPr>
          <w:lang w:val="ru-RU"/>
        </w:rPr>
      </w:pPr>
    </w:p>
    <w:p w:rsidR="00D90215" w:rsidRDefault="00D90215" w:rsidP="00016A2F">
      <w:pPr>
        <w:rPr>
          <w:lang w:val="ru-RU"/>
        </w:rPr>
      </w:pPr>
    </w:p>
    <w:p w:rsidR="0009753F" w:rsidRDefault="0009753F" w:rsidP="00E4613F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1" w:name="_GoBack"/>
      <w:bookmarkEnd w:id="1"/>
    </w:p>
    <w:sectPr w:rsidR="0009753F" w:rsidSect="00016A2F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6C9F"/>
    <w:multiLevelType w:val="multilevel"/>
    <w:tmpl w:val="BBD2DAAA"/>
    <w:lvl w:ilvl="0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9" w:hanging="2160"/>
      </w:pPr>
      <w:rPr>
        <w:rFonts w:hint="default"/>
      </w:rPr>
    </w:lvl>
  </w:abstractNum>
  <w:abstractNum w:abstractNumId="1" w15:restartNumberingAfterBreak="0">
    <w:nsid w:val="5EA23772"/>
    <w:multiLevelType w:val="multilevel"/>
    <w:tmpl w:val="BEF08E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6DEB29EA"/>
    <w:multiLevelType w:val="hybridMultilevel"/>
    <w:tmpl w:val="8AEC26CE"/>
    <w:lvl w:ilvl="0" w:tplc="C80ACFDE">
      <w:start w:val="1"/>
      <w:numFmt w:val="decimal"/>
      <w:lvlText w:val="%1."/>
      <w:lvlJc w:val="left"/>
      <w:pPr>
        <w:tabs>
          <w:tab w:val="num" w:pos="1187"/>
        </w:tabs>
        <w:ind w:left="1187" w:hanging="903"/>
      </w:pPr>
    </w:lvl>
    <w:lvl w:ilvl="1" w:tplc="04190019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3"/>
        </w:tabs>
        <w:ind w:left="2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3"/>
        </w:tabs>
        <w:ind w:left="4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3"/>
        </w:tabs>
        <w:ind w:left="6423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B3"/>
    <w:rsid w:val="00000212"/>
    <w:rsid w:val="00016A2F"/>
    <w:rsid w:val="0009753F"/>
    <w:rsid w:val="00097ABD"/>
    <w:rsid w:val="000C1EEA"/>
    <w:rsid w:val="000F27AE"/>
    <w:rsid w:val="00173668"/>
    <w:rsid w:val="00282E75"/>
    <w:rsid w:val="002D4661"/>
    <w:rsid w:val="003079DB"/>
    <w:rsid w:val="003120EB"/>
    <w:rsid w:val="00370BDB"/>
    <w:rsid w:val="003A2E0E"/>
    <w:rsid w:val="003A5EB1"/>
    <w:rsid w:val="004164E5"/>
    <w:rsid w:val="00447D27"/>
    <w:rsid w:val="004B09D0"/>
    <w:rsid w:val="004C6F6E"/>
    <w:rsid w:val="004F7FDD"/>
    <w:rsid w:val="005441FC"/>
    <w:rsid w:val="00562F0E"/>
    <w:rsid w:val="006371A9"/>
    <w:rsid w:val="00673A83"/>
    <w:rsid w:val="006801C7"/>
    <w:rsid w:val="007F4804"/>
    <w:rsid w:val="00802862"/>
    <w:rsid w:val="00843E6B"/>
    <w:rsid w:val="008A1DB3"/>
    <w:rsid w:val="00927D3F"/>
    <w:rsid w:val="00971C47"/>
    <w:rsid w:val="009A33AD"/>
    <w:rsid w:val="009C1396"/>
    <w:rsid w:val="009D7883"/>
    <w:rsid w:val="00A319D5"/>
    <w:rsid w:val="00A3213D"/>
    <w:rsid w:val="00B470E0"/>
    <w:rsid w:val="00C35B3D"/>
    <w:rsid w:val="00C5229C"/>
    <w:rsid w:val="00C54230"/>
    <w:rsid w:val="00D1164D"/>
    <w:rsid w:val="00D23E29"/>
    <w:rsid w:val="00D90215"/>
    <w:rsid w:val="00D9762E"/>
    <w:rsid w:val="00DA5823"/>
    <w:rsid w:val="00DB3FA9"/>
    <w:rsid w:val="00DB49D0"/>
    <w:rsid w:val="00DD2F42"/>
    <w:rsid w:val="00E4613F"/>
    <w:rsid w:val="00EB1AED"/>
    <w:rsid w:val="00ED385C"/>
    <w:rsid w:val="00F13238"/>
    <w:rsid w:val="00F2239C"/>
    <w:rsid w:val="00F26389"/>
    <w:rsid w:val="00F923E7"/>
    <w:rsid w:val="00F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7F10"/>
  <w15:chartTrackingRefBased/>
  <w15:docId w15:val="{F908BCE8-5155-4DC1-A278-1160ADFD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F4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4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 Знак1 Знак Знак1"/>
    <w:basedOn w:val="a"/>
    <w:rsid w:val="00ED385C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4230"/>
    <w:rPr>
      <w:color w:val="0000FF"/>
      <w:u w:val="single"/>
    </w:rPr>
  </w:style>
  <w:style w:type="table" w:styleId="a8">
    <w:name w:val="Table Grid"/>
    <w:basedOn w:val="a1"/>
    <w:uiPriority w:val="39"/>
    <w:rsid w:val="00D9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Аліна Сергіївна</dc:creator>
  <cp:keywords/>
  <dc:description/>
  <cp:lastModifiedBy>Левицька Аліна Сергіївна</cp:lastModifiedBy>
  <cp:revision>5</cp:revision>
  <cp:lastPrinted>2026-05-06T06:30:00Z</cp:lastPrinted>
  <dcterms:created xsi:type="dcterms:W3CDTF">2026-05-25T05:38:00Z</dcterms:created>
  <dcterms:modified xsi:type="dcterms:W3CDTF">2026-05-28T11:55:00Z</dcterms:modified>
</cp:coreProperties>
</file>