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2"/>
      </w:tblGrid>
      <w:tr w:rsidR="00165241" w:rsidRPr="00036761" w:rsidTr="009F22CA">
        <w:tc>
          <w:tcPr>
            <w:tcW w:w="3292" w:type="dxa"/>
          </w:tcPr>
          <w:p w:rsidR="0009787F" w:rsidRPr="00165241" w:rsidRDefault="0009787F" w:rsidP="00E3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652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</w:t>
            </w:r>
            <w:r w:rsidR="009857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</w:t>
            </w:r>
          </w:p>
          <w:p w:rsidR="0009787F" w:rsidRPr="00165241" w:rsidRDefault="005231E6" w:rsidP="00E3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</w:t>
            </w:r>
            <w:r w:rsidR="00BC4B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9787F" w:rsidRPr="001652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иконавчого комітету</w:t>
            </w:r>
          </w:p>
          <w:p w:rsidR="004E5996" w:rsidRPr="00165241" w:rsidRDefault="0009787F" w:rsidP="00036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652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0367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22.05.2026</w:t>
            </w:r>
            <w:r w:rsidRPr="001652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 w:rsidR="000367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1450</w:t>
            </w:r>
          </w:p>
        </w:tc>
      </w:tr>
    </w:tbl>
    <w:p w:rsidR="00826323" w:rsidRPr="00826323" w:rsidRDefault="00826323" w:rsidP="00826323">
      <w:pPr>
        <w:spacing w:after="0" w:line="240" w:lineRule="auto"/>
        <w:ind w:left="6480" w:firstLine="41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26323" w:rsidRPr="00F21FDD" w:rsidRDefault="00826323" w:rsidP="00826323">
      <w:pPr>
        <w:spacing w:after="0" w:line="240" w:lineRule="auto"/>
        <w:ind w:left="6480" w:firstLine="41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21F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«Затверджено»</w:t>
      </w:r>
    </w:p>
    <w:p w:rsidR="00826323" w:rsidRPr="00F21FDD" w:rsidRDefault="00826323" w:rsidP="0082632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21F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рішенням виконавчого комітету </w:t>
      </w:r>
    </w:p>
    <w:p w:rsidR="00826323" w:rsidRPr="00F21FDD" w:rsidRDefault="00826323" w:rsidP="00826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21F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21F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21F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21F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21F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21F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21F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21F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BB2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36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22.05.2026</w:t>
      </w:r>
      <w:r w:rsidR="00BB2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036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1450</w:t>
      </w:r>
      <w:bookmarkStart w:id="0" w:name="_GoBack"/>
      <w:bookmarkEnd w:id="0"/>
      <w:r w:rsidR="00BB2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72638" w:rsidRPr="00D72638" w:rsidRDefault="004568B8" w:rsidP="00CA29D7">
      <w:pPr>
        <w:pStyle w:val="rvps6"/>
        <w:shd w:val="clear" w:color="auto" w:fill="FFFFFF"/>
        <w:spacing w:after="0" w:afterAutospacing="0"/>
        <w:ind w:right="450"/>
        <w:jc w:val="center"/>
        <w:rPr>
          <w:b/>
          <w:bCs/>
          <w:sz w:val="28"/>
          <w:szCs w:val="28"/>
          <w:lang w:val="uk-UA"/>
        </w:rPr>
      </w:pPr>
      <w:r w:rsidRPr="00165241">
        <w:rPr>
          <w:rStyle w:val="rvts23"/>
          <w:b/>
          <w:bCs/>
          <w:sz w:val="28"/>
          <w:szCs w:val="28"/>
          <w:lang w:val="uk-UA"/>
        </w:rPr>
        <w:t>ПОРЯДОК</w:t>
      </w:r>
    </w:p>
    <w:p w:rsidR="004568B8" w:rsidRPr="00165241" w:rsidRDefault="00D72638" w:rsidP="00CA29D7">
      <w:pPr>
        <w:pStyle w:val="rvps6"/>
        <w:shd w:val="clear" w:color="auto" w:fill="FFFFFF"/>
        <w:spacing w:before="0" w:beforeAutospacing="0" w:after="0" w:afterAutospacing="0"/>
        <w:ind w:right="450"/>
        <w:jc w:val="center"/>
        <w:rPr>
          <w:b/>
          <w:bCs/>
          <w:sz w:val="28"/>
          <w:szCs w:val="28"/>
          <w:lang w:val="uk-UA"/>
        </w:rPr>
      </w:pPr>
      <w:r w:rsidRPr="00D72638">
        <w:rPr>
          <w:b/>
          <w:bCs/>
          <w:sz w:val="28"/>
          <w:szCs w:val="28"/>
          <w:lang w:val="uk-UA"/>
        </w:rPr>
        <w:t>реалізації публічних інвестиційних про</w:t>
      </w:r>
      <w:r>
        <w:rPr>
          <w:b/>
          <w:bCs/>
          <w:sz w:val="28"/>
          <w:szCs w:val="28"/>
          <w:lang w:val="uk-UA"/>
        </w:rPr>
        <w:t>є</w:t>
      </w:r>
      <w:r w:rsidRPr="00D72638">
        <w:rPr>
          <w:b/>
          <w:bCs/>
          <w:sz w:val="28"/>
          <w:szCs w:val="28"/>
          <w:lang w:val="uk-UA"/>
        </w:rPr>
        <w:t xml:space="preserve">ктів та програм публічних інвестицій </w:t>
      </w:r>
      <w:r w:rsidR="00FC3285" w:rsidRPr="00165241">
        <w:rPr>
          <w:b/>
          <w:bCs/>
          <w:sz w:val="28"/>
          <w:szCs w:val="28"/>
          <w:lang w:val="uk-UA"/>
        </w:rPr>
        <w:t>Сумської міської територіальної громади</w:t>
      </w:r>
    </w:p>
    <w:p w:rsidR="00836EFA" w:rsidRPr="00826323" w:rsidRDefault="00836EFA" w:rsidP="008263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bookmarkStart w:id="1" w:name="n404"/>
      <w:bookmarkEnd w:id="1"/>
    </w:p>
    <w:p w:rsidR="00FC3285" w:rsidRPr="00165241" w:rsidRDefault="00FC3285" w:rsidP="00A67F6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5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D72638"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Цей Порядок визначає механізм реалізації публічних інвестиційних проєктів (далі - проєкти) та програм публічних інвестицій (далі - програми) Сумської міської територіальної громади, а також моніторингу ефективності реалізації проєктів та програм Сумської міської територіальної громади </w:t>
      </w:r>
      <w:r w:rsidR="00835A26"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>(далі - Порядок).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35A26" w:rsidRPr="00165241" w:rsidRDefault="00FC3285" w:rsidP="00A67F64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bookmarkStart w:id="2" w:name="n591"/>
      <w:bookmarkEnd w:id="2"/>
      <w:r w:rsidRPr="00165241">
        <w:rPr>
          <w:sz w:val="28"/>
          <w:szCs w:val="28"/>
          <w:lang w:val="uk-UA"/>
        </w:rPr>
        <w:t xml:space="preserve">2.1. </w:t>
      </w:r>
      <w:r w:rsidR="00835A26" w:rsidRPr="00165241">
        <w:rPr>
          <w:sz w:val="28"/>
          <w:szCs w:val="28"/>
          <w:lang w:val="uk-UA"/>
        </w:rPr>
        <w:t>У цьому Порядку терміни вживаються в такому значенні:</w:t>
      </w:r>
    </w:p>
    <w:p w:rsidR="00D72638" w:rsidRPr="00A02F9D" w:rsidRDefault="00D72638" w:rsidP="00A67F6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n16"/>
      <w:bookmarkStart w:id="4" w:name="n19"/>
      <w:bookmarkEnd w:id="3"/>
      <w:bookmarkEnd w:id="4"/>
      <w:r w:rsidRPr="00A02F9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виконавець програми</w:t>
      </w:r>
      <w:r w:rsidRPr="00A02F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виконав</w:t>
      </w:r>
      <w:r w:rsidR="00A02F9D">
        <w:rPr>
          <w:rFonts w:ascii="Times New Roman" w:eastAsia="Times New Roman" w:hAnsi="Times New Roman" w:cs="Times New Roman"/>
          <w:sz w:val="28"/>
          <w:szCs w:val="28"/>
          <w:lang w:val="uk-UA"/>
        </w:rPr>
        <w:t>чий орган Сумської міської ради</w:t>
      </w:r>
      <w:r w:rsidRPr="00A02F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2F9D" w:rsidRPr="00A02F9D">
        <w:rPr>
          <w:rFonts w:ascii="Times New Roman" w:hAnsi="Times New Roman" w:cs="Times New Roman"/>
          <w:sz w:val="28"/>
          <w:szCs w:val="28"/>
          <w:lang w:val="uk-UA"/>
        </w:rPr>
        <w:t>та/або підприємство, організація комунальної форми власності, які визначені ініціатором програми та забезпечують і координують виконання однієї чи ряду програм публічних інвестицій;</w:t>
      </w:r>
    </w:p>
    <w:p w:rsidR="00D72638" w:rsidRPr="00D72638" w:rsidRDefault="00235D3D" w:rsidP="00A67F6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624"/>
      <w:bookmarkEnd w:id="5"/>
      <w:r w:rsidRPr="00C06E7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виконавець проє</w:t>
      </w:r>
      <w:r w:rsidR="00D72638" w:rsidRPr="00D7263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кту</w:t>
      </w:r>
      <w:r w:rsidR="00D72638"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Pr="00C06E7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 орган Сумської міської ради, відповідальний за відповідну галузь (сектор) для публічного інвестування на території громади</w:t>
      </w:r>
      <w:r w:rsidR="00D72638"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C06E78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головні розпорядники бюджетних коштів, установи, організації, заклади та підприємства, засновником яких є Сумська міська рада,</w:t>
      </w:r>
      <w:r w:rsidR="00D72638"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 забезпечу</w:t>
      </w:r>
      <w:r w:rsidRPr="00C06E78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="00D72638"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реалізацію про</w:t>
      </w:r>
      <w:r w:rsidRPr="00C06E78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D72638"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>кту (підготовку та проведення закупівель, укладення договорів, отримання права на виконання будівельних робіт, організацію робіт, прийняття в експлуатацію тощо);</w:t>
      </w:r>
    </w:p>
    <w:p w:rsidR="00D72638" w:rsidRPr="00D72638" w:rsidRDefault="00D72638" w:rsidP="00A67F6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n625"/>
      <w:bookmarkEnd w:id="6"/>
      <w:r w:rsidRPr="00D7263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показники </w:t>
      </w:r>
      <w:r w:rsidR="00C06E78" w:rsidRPr="00C06E7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</w:t>
      </w:r>
      <w:r w:rsidRPr="00D7263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кту чи програми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характеристики, які дають можливість відстежувати прогрес реалізації про</w:t>
      </w:r>
      <w:r w:rsidR="00C06E78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>кту чи програми, оцінити ефективність та результативність їх реалізації, досягнення мети та забезпечити прозорість і підзвітність у здійсненні публічних інвестицій;</w:t>
      </w:r>
    </w:p>
    <w:p w:rsidR="00D72638" w:rsidRPr="00D72638" w:rsidRDefault="00D72638" w:rsidP="00A67F6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n626"/>
      <w:bookmarkEnd w:id="7"/>
      <w:r w:rsidRPr="00D7263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реалізація про</w:t>
      </w:r>
      <w:r w:rsidR="00C06E7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є</w:t>
      </w:r>
      <w:r w:rsidRPr="00D7263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кту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інвестиційний етап життєвого циклу про</w:t>
      </w:r>
      <w:r w:rsidR="00C06E78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>кту, який включає, зокрема, розроблення про</w:t>
      </w:r>
      <w:r w:rsidR="00C06E78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>ктної документації та її затвердження, отримання відповідних дозволів, підготовку та проведення процедур закупівель, укладення договорів, виконання будівельних робіт, придбання та встановлення обладнання, управління заходами про</w:t>
      </w:r>
      <w:r w:rsid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>кту, навчання персоналу, прийняття в експлуатацію;</w:t>
      </w:r>
    </w:p>
    <w:p w:rsidR="00D72638" w:rsidRPr="00D72638" w:rsidRDefault="00D72638" w:rsidP="00A67F6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n627"/>
      <w:bookmarkEnd w:id="8"/>
      <w:r w:rsidRPr="00D7263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реалізація програми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інвестиційний етап життєвого циклу програми, що включає здійснення заходів, передбачених програмою для досягнення 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встановлених цільових показників, зокрема відбір про</w:t>
      </w:r>
      <w:r w:rsid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ктів, що відповідають затвердженим у рамках програми критеріям, розподіл відповідних коштів </w:t>
      </w:r>
      <w:r w:rsidR="008E00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бюджету, 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бюджету </w:t>
      </w:r>
      <w:r w:rsidR="00CA2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Сумської міської територіальної громади 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>в межах загального обсягу програми та моніторинг ефективності реалізації відібраних про</w:t>
      </w:r>
      <w:r w:rsid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D72638">
        <w:rPr>
          <w:rFonts w:ascii="Times New Roman" w:eastAsia="Times New Roman" w:hAnsi="Times New Roman" w:cs="Times New Roman"/>
          <w:sz w:val="28"/>
          <w:szCs w:val="28"/>
          <w:lang w:val="uk-UA"/>
        </w:rPr>
        <w:t>ктів.</w:t>
      </w:r>
    </w:p>
    <w:p w:rsidR="005942B9" w:rsidRPr="00165241" w:rsidRDefault="005942B9" w:rsidP="00A67F64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5241">
        <w:rPr>
          <w:rFonts w:ascii="Times New Roman" w:eastAsia="Calibri" w:hAnsi="Times New Roman" w:cs="Times New Roman"/>
          <w:sz w:val="28"/>
          <w:szCs w:val="28"/>
          <w:lang w:val="uk-UA"/>
        </w:rPr>
        <w:t>Інші терміни вживаються у значеннях, наведених в Бюджетному кодексі України, законах України, указах Президента України, нормативно-правових актах Верховної Ради України, Кабінету Міністрів України, центральних органів влади, інших нормативн</w:t>
      </w:r>
      <w:r w:rsidR="00477ADB">
        <w:rPr>
          <w:rFonts w:ascii="Times New Roman" w:eastAsia="Calibri" w:hAnsi="Times New Roman" w:cs="Times New Roman"/>
          <w:sz w:val="28"/>
          <w:szCs w:val="28"/>
          <w:lang w:val="uk-UA"/>
        </w:rPr>
        <w:t>о-правових</w:t>
      </w:r>
      <w:r w:rsidRPr="001652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актах.</w:t>
      </w:r>
    </w:p>
    <w:p w:rsidR="00CA29D7" w:rsidRPr="00CA29D7" w:rsidRDefault="00CA29D7" w:rsidP="00A67F6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3. Процедура реалізації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="00836EFA">
        <w:rPr>
          <w:rFonts w:ascii="Times New Roman" w:eastAsia="Times New Roman" w:hAnsi="Times New Roman" w:cs="Times New Roman"/>
          <w:sz w:val="28"/>
          <w:szCs w:val="28"/>
          <w:lang w:val="uk-UA"/>
        </w:rPr>
        <w:t>у та програми, які включені до Є</w:t>
      </w:r>
      <w:r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диного про</w:t>
      </w:r>
      <w:r w:rsidR="00227119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ктного портфеля публічних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</w:t>
      </w:r>
      <w:r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громади, встановлена цим Порядком, є обов’язковою для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ктів та програм, заходи з реалізації яких фінансуються/фінансуватимуться за рахунок коштів державного бюджету та/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або надання державної підтримки; д</w:t>
      </w:r>
      <w:r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ля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ктів та програм, заходи з реалізації яких фінансуються/фінансуватимуться за рахунок коштів бюджету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Сумської міської територіальної громади </w:t>
      </w:r>
      <w:r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та/або за рахунок запозичень,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отриманих під місцеві гарантії - </w:t>
      </w:r>
      <w:r w:rsidRPr="00227119">
        <w:rPr>
          <w:rFonts w:ascii="Times New Roman" w:eastAsia="Times New Roman" w:hAnsi="Times New Roman" w:cs="Times New Roman"/>
          <w:sz w:val="28"/>
          <w:szCs w:val="28"/>
          <w:lang w:val="uk-UA"/>
        </w:rPr>
        <w:t>рекомендованою.</w:t>
      </w:r>
    </w:p>
    <w:p w:rsidR="00CA29D7" w:rsidRPr="00CA29D7" w:rsidRDefault="00836EFA" w:rsidP="00A6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CA29D7"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Інформація та документи щодо реалізації про</w:t>
      </w:r>
      <w:r w:rsid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ктів та програм вносяться до Єдиної інформаційної системи управління публічними інвестиційними про</w:t>
      </w:r>
      <w:r w:rsid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ктами (далі - Єдина інформаційна система) виконавцями про</w:t>
      </w:r>
      <w:r w:rsid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ктів та програм на кожній стадії їх реалізації.</w:t>
      </w:r>
    </w:p>
    <w:p w:rsidR="00CA29D7" w:rsidRPr="00CA29D7" w:rsidRDefault="00CA29D7" w:rsidP="00A67F6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та документи щодо реалізації про</w:t>
      </w:r>
      <w:r w:rsidR="0082632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ктів та програм може вноситись до Єдиної інформаційної системи шляхом електронної інформаційної взаємодії з іншими електронними інформаційними ресурсами в установленому порядку.</w:t>
      </w:r>
    </w:p>
    <w:p w:rsidR="00CA29D7" w:rsidRPr="00CA29D7" w:rsidRDefault="00836EFA" w:rsidP="00A67F6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="00CA29D7"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</w:t>
      </w:r>
      <w:r w:rsidR="00C54F0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кт підлягає повторній галузевій (секторальній) оцінці та/або експертній оцінці відповідно до Порядку оцінки публічних інвестиційних про</w:t>
      </w:r>
      <w:r w:rsidR="00A30791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ктів та програм публічних інвестицій</w:t>
      </w:r>
      <w:r w:rsidR="00C54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Сумської міської територіальної громади</w:t>
      </w:r>
      <w:r w:rsidR="00CA29D7" w:rsidRPr="00CA29D7">
        <w:rPr>
          <w:rFonts w:ascii="Times New Roman" w:eastAsia="Times New Roman" w:hAnsi="Times New Roman" w:cs="Times New Roman"/>
          <w:sz w:val="28"/>
          <w:szCs w:val="28"/>
          <w:lang w:val="uk-UA"/>
        </w:rPr>
        <w:t>, у разі:</w:t>
      </w:r>
    </w:p>
    <w:p w:rsidR="008335F7" w:rsidRDefault="00CA29D7" w:rsidP="00A67F64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3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зміни його прогнозної загальної вартості більш як на 10 відсотків вартості, визначеної на момент включення до </w:t>
      </w:r>
      <w:r w:rsidR="00836EF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8335F7">
        <w:rPr>
          <w:rFonts w:ascii="Times New Roman" w:eastAsia="Times New Roman" w:hAnsi="Times New Roman" w:cs="Times New Roman"/>
          <w:sz w:val="28"/>
          <w:szCs w:val="28"/>
          <w:lang w:val="uk-UA"/>
        </w:rPr>
        <w:t>диного про</w:t>
      </w:r>
      <w:r w:rsidR="00C54F0A" w:rsidRPr="008335F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8335F7">
        <w:rPr>
          <w:rFonts w:ascii="Times New Roman" w:eastAsia="Times New Roman" w:hAnsi="Times New Roman" w:cs="Times New Roman"/>
          <w:sz w:val="28"/>
          <w:szCs w:val="28"/>
          <w:lang w:val="uk-UA"/>
        </w:rPr>
        <w:t>ктного портфеля</w:t>
      </w:r>
      <w:r w:rsidR="00C54F0A" w:rsidRPr="00833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Сумської міської територіальної громади</w:t>
      </w:r>
      <w:r w:rsidRPr="008335F7">
        <w:rPr>
          <w:rFonts w:ascii="Times New Roman" w:eastAsia="Times New Roman" w:hAnsi="Times New Roman" w:cs="Times New Roman"/>
          <w:sz w:val="28"/>
          <w:szCs w:val="28"/>
          <w:lang w:val="uk-UA"/>
        </w:rPr>
        <w:t>, в тому числі внаслідок зміни з урахуванням прогнозного рівня інфляції;</w:t>
      </w:r>
    </w:p>
    <w:p w:rsidR="00CA29D7" w:rsidRPr="008335F7" w:rsidRDefault="00CA29D7" w:rsidP="00A67F64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35F7">
        <w:rPr>
          <w:rFonts w:ascii="Times New Roman" w:eastAsia="Times New Roman" w:hAnsi="Times New Roman" w:cs="Times New Roman"/>
          <w:sz w:val="28"/>
          <w:szCs w:val="28"/>
          <w:lang w:val="uk-UA"/>
        </w:rPr>
        <w:t>зміни технічних рішень та/або включення додаткових компонентів чи витрат, не передбачених інвестиційним техніко-економічним обґрунтуванням, що призводять до зміни цільових показників про</w:t>
      </w:r>
      <w:r w:rsidR="00C54F0A" w:rsidRPr="008335F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8335F7">
        <w:rPr>
          <w:rFonts w:ascii="Times New Roman" w:eastAsia="Times New Roman" w:hAnsi="Times New Roman" w:cs="Times New Roman"/>
          <w:sz w:val="28"/>
          <w:szCs w:val="28"/>
          <w:lang w:val="uk-UA"/>
        </w:rPr>
        <w:t>кту;</w:t>
      </w:r>
    </w:p>
    <w:p w:rsidR="00CA29D7" w:rsidRPr="00C54F0A" w:rsidRDefault="00CA29D7" w:rsidP="00A67F64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4F0A">
        <w:rPr>
          <w:rFonts w:ascii="Times New Roman" w:eastAsia="Times New Roman" w:hAnsi="Times New Roman" w:cs="Times New Roman"/>
          <w:sz w:val="28"/>
          <w:szCs w:val="28"/>
          <w:lang w:val="uk-UA"/>
        </w:rPr>
        <w:t>зміни цільового призначення обладнання (устатковання), не передбаченого інвестиційним техніко-економічним обґрунтуванням;</w:t>
      </w:r>
    </w:p>
    <w:p w:rsidR="00CA29D7" w:rsidRPr="00C54F0A" w:rsidRDefault="00CA29D7" w:rsidP="00A67F64">
      <w:pPr>
        <w:pStyle w:val="a9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4F0A">
        <w:rPr>
          <w:rFonts w:ascii="Times New Roman" w:eastAsia="Times New Roman" w:hAnsi="Times New Roman" w:cs="Times New Roman"/>
          <w:sz w:val="28"/>
          <w:szCs w:val="28"/>
          <w:lang w:val="uk-UA"/>
        </w:rPr>
        <w:t>настання інших обґрунтованих умов, зокрема за рішенням ініціатора про</w:t>
      </w:r>
      <w:r w:rsidR="00C54F0A" w:rsidRPr="00C54F0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54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кту або за рекомендацією </w:t>
      </w:r>
      <w:r w:rsidR="00C54F0A" w:rsidRPr="00C54F0A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C54F0A">
        <w:rPr>
          <w:rFonts w:ascii="Times New Roman" w:eastAsia="Times New Roman" w:hAnsi="Times New Roman" w:cs="Times New Roman"/>
          <w:sz w:val="28"/>
          <w:szCs w:val="28"/>
          <w:lang w:val="uk-UA"/>
        </w:rPr>
        <w:t>омісії з питань розподілу публічних інвестицій</w:t>
      </w:r>
      <w:r w:rsidR="00C54F0A" w:rsidRPr="00C54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54F0A" w:rsidRPr="00C54F0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Сумської міської територіальної громади</w:t>
      </w:r>
      <w:r w:rsidRPr="00C54F0A">
        <w:rPr>
          <w:rFonts w:ascii="Times New Roman" w:eastAsia="Times New Roman" w:hAnsi="Times New Roman" w:cs="Times New Roman"/>
          <w:sz w:val="28"/>
          <w:szCs w:val="28"/>
          <w:lang w:val="uk-UA"/>
        </w:rPr>
        <w:t>, що можуть істотно вплинути на результати реалізації такого про</w:t>
      </w:r>
      <w:r w:rsidR="00C54F0A" w:rsidRPr="00C54F0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54F0A">
        <w:rPr>
          <w:rFonts w:ascii="Times New Roman" w:eastAsia="Times New Roman" w:hAnsi="Times New Roman" w:cs="Times New Roman"/>
          <w:sz w:val="28"/>
          <w:szCs w:val="28"/>
          <w:lang w:val="uk-UA"/>
        </w:rPr>
        <w:t>кту.</w:t>
      </w:r>
    </w:p>
    <w:p w:rsidR="00CA29D7" w:rsidRPr="009857FC" w:rsidRDefault="00836EFA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Ініціатор про</w:t>
      </w:r>
      <w:r w:rsidR="00C54F0A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з дня підтвердження готовності про</w:t>
      </w:r>
      <w:r w:rsidR="00C54F0A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до реалізації зобов’язаний:</w:t>
      </w:r>
    </w:p>
    <w:p w:rsidR="00CA29D7" w:rsidRPr="009857FC" w:rsidRDefault="00CA29D7" w:rsidP="00A67F64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 оновлення інформації щодо про</w:t>
      </w:r>
      <w:r w:rsidR="00C54F0A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у разі наявності змін та після отримання фінансування, що включає, але не обмежується коригуванням даних про обсяги робіт, строки виконання, бюджет та інші відомості, що можуть мати вплив на реалізацію про</w:t>
      </w:r>
      <w:r w:rsidR="00C54F0A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кту;</w:t>
      </w:r>
    </w:p>
    <w:p w:rsidR="00CA29D7" w:rsidRPr="009857FC" w:rsidRDefault="00CA29D7" w:rsidP="00A67F64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забезпечувати проведення оцінки ефективності реалізації про</w:t>
      </w:r>
      <w:r w:rsidR="00A30791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кту відповідно до пунктів </w:t>
      </w:r>
      <w:r w:rsidR="00836EFA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27489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836EFA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27489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цього Порядку та вживати необхідних заходів для виявлення та усунення відхилень від плану реалізації про</w:t>
      </w:r>
      <w:r w:rsidR="00C54F0A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кту;</w:t>
      </w:r>
    </w:p>
    <w:p w:rsidR="00CA29D7" w:rsidRPr="009857FC" w:rsidRDefault="00CA29D7" w:rsidP="00127489">
      <w:pPr>
        <w:pStyle w:val="a9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під час реалізації про</w:t>
      </w:r>
      <w:r w:rsidR="00C54F0A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дотримання норм і стандартів для забезпечення якості та ефективності реалізації про</w:t>
      </w:r>
      <w:r w:rsidR="00C54F0A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кту, а також відповідність законодавству.</w:t>
      </w:r>
    </w:p>
    <w:p w:rsidR="00CA29D7" w:rsidRPr="009857FC" w:rsidRDefault="00127489" w:rsidP="00A6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7.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Виконавець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актуалізує план реалізації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із зазначенням чіткого графіка та дат, який формується за допомогою Єдиної інформаційної системи та містить інформацію щодо здійснення комплексу заходів, зокрема організаційно-правових, управлінських, аналітичних, фінансових та інженерно-технічних (за необхідності підготовку та проведення закупівель, укладення договорів, проведення будівельних робіт, контроль якості виконання робіт, постачання товарів чи обладнання), з урахуванням методичних рекомендацій, затверджених Мінекономіки.</w:t>
      </w:r>
    </w:p>
    <w:p w:rsidR="00CA29D7" w:rsidRPr="009857FC" w:rsidRDefault="00CA29D7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Виконавець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забезпечує якісне і своєчасне виконання всіх заходів, передбачених планом реалізації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кту. У разі необхідності та наявності обґрунтувань виконавець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може вносити до нього зміни.</w:t>
      </w:r>
    </w:p>
    <w:p w:rsidR="00CA29D7" w:rsidRPr="009857FC" w:rsidRDefault="00127489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Виконавець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забезпечує щомісячне внесення до Єдиної інформаційної системи звітів щодо прогресу реалізації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кту, включаючи фізичні і фінансові показники виконання, та фотозвітів не пізніше 10 числа місяця, наступного за звітним.</w:t>
      </w:r>
    </w:p>
    <w:p w:rsidR="00CA29D7" w:rsidRPr="009857FC" w:rsidRDefault="00127489" w:rsidP="00A6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9.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Ініціатор програми з моменту підтвердження готовності програми до реалізації зобов’язаний:</w:t>
      </w:r>
    </w:p>
    <w:p w:rsidR="00CA29D7" w:rsidRPr="009857FC" w:rsidRDefault="00CA29D7" w:rsidP="00A67F64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 оновлення інформації щодо програми (у разі такої необхідності);</w:t>
      </w:r>
    </w:p>
    <w:p w:rsidR="00CA29D7" w:rsidRPr="009857FC" w:rsidRDefault="00CA29D7" w:rsidP="00127489">
      <w:pPr>
        <w:pStyle w:val="a9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проводити оцінку ефективності реалізації програми та вживати заходів для виявлення та усунення відхилень від плану реалізації програми.</w:t>
      </w:r>
    </w:p>
    <w:p w:rsidR="00CA29D7" w:rsidRPr="009857FC" w:rsidRDefault="00127489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10.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Виконавець програми актуалізує план реалізації програми, який формується за допомогою Єдиної інформаційної системи та містить інформацію щодо здійснення комплексу заходів, зокрема:</w:t>
      </w:r>
    </w:p>
    <w:p w:rsidR="00CA29D7" w:rsidRPr="009857FC" w:rsidRDefault="00CA29D7" w:rsidP="00A67F64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заходи, які необхідно здійснити для досягнення завдань та цілей програми, зокрема щодо включення відповідних про</w:t>
      </w:r>
      <w:r w:rsidR="008335F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ктів;</w:t>
      </w:r>
    </w:p>
    <w:p w:rsidR="00CA29D7" w:rsidRPr="009857FC" w:rsidRDefault="00CA29D7" w:rsidP="00A67F64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строки виконання кожного заходу з визначенням відповідальних за виконання осіб;</w:t>
      </w:r>
    </w:p>
    <w:p w:rsidR="00CA29D7" w:rsidRPr="009857FC" w:rsidRDefault="00CA29D7" w:rsidP="00A67F64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очікувані результати виконання кожного заходу;</w:t>
      </w:r>
    </w:p>
    <w:p w:rsidR="00CA29D7" w:rsidRPr="009857FC" w:rsidRDefault="00CA29D7" w:rsidP="00A67F64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індикатори оцінки досягнення результатів кожного заходу;</w:t>
      </w:r>
    </w:p>
    <w:p w:rsidR="00CA29D7" w:rsidRPr="009857FC" w:rsidRDefault="00CA29D7" w:rsidP="00127489">
      <w:pPr>
        <w:pStyle w:val="a9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про включені до програми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кти із зазначенням їх унікальних ідентифікаторів, стадії реалізації, вартості та джерел фінансування, строків реалізації та очікуваних результатів.</w:t>
      </w:r>
    </w:p>
    <w:p w:rsidR="008335F7" w:rsidRPr="009857FC" w:rsidRDefault="00127489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11.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Виконавець програми забезпечує якісне і своєчасне виконання всіх заходів, передбачених планом реалізації програми, а у разі необхідності та наявності обґрунтувань може вносити до нього зміни.</w:t>
      </w:r>
    </w:p>
    <w:p w:rsidR="00CA29D7" w:rsidRPr="009857FC" w:rsidRDefault="00127489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12.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Протягом строку реалізації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виконавець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забезпечує проведення щорічної оцінки ефективності реалізації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програми, що передбачає здійснення їх моніторингу, аналізу та контролю виконання плану реалізації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та індикаторів оцінки досягнення результатів.</w:t>
      </w:r>
    </w:p>
    <w:p w:rsidR="00CA29D7" w:rsidRPr="009857FC" w:rsidRDefault="00127489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13.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Виконавець за результатами оцінки ефективності реалізації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готує щорічний звіт, масштабного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- щоквартальний звіт.</w:t>
      </w:r>
    </w:p>
    <w:p w:rsidR="00CA29D7" w:rsidRPr="009857FC" w:rsidRDefault="00CA29D7" w:rsidP="00A6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Щорічний/щоквартальний звіт повинен містити:</w:t>
      </w:r>
    </w:p>
    <w:p w:rsidR="00CA29D7" w:rsidRPr="009857FC" w:rsidRDefault="00CA29D7" w:rsidP="00A67F64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про хід виконання плану реалізації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або програми; аналіз досягнутих результатів;</w:t>
      </w:r>
    </w:p>
    <w:p w:rsidR="00CA29D7" w:rsidRPr="009857FC" w:rsidRDefault="00CA29D7" w:rsidP="00A67F64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про використання коштів (у разі, коли захід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або програми передбачає використання коштів);</w:t>
      </w:r>
    </w:p>
    <w:p w:rsidR="00CA29D7" w:rsidRPr="009857FC" w:rsidRDefault="00CA29D7" w:rsidP="00127489">
      <w:pPr>
        <w:pStyle w:val="a9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 щодо коригування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або програми (за необхідності).</w:t>
      </w:r>
    </w:p>
    <w:p w:rsidR="00CA29D7" w:rsidRPr="009857FC" w:rsidRDefault="00127489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14.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Щорічний звіт вноситься виконавцем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кту або програми до Єдиної інформаційної системи з накладенням кваліфікованого електронного підпису або удосконаленого електронного підпису, що базується на кваліфікованому сертифікаті електронного підпису, уповноваженої особи до </w:t>
      </w:r>
      <w:r w:rsidR="00CA29D7" w:rsidRPr="009857F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10 січня наступного за звітним року</w:t>
      </w:r>
      <w:r w:rsidR="00CA29D7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A29D7" w:rsidRPr="009857FC" w:rsidRDefault="00CA29D7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Щоквартальний звіт вноситься виконавцем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кту до Єдиної інформаційної системи з накладенням кваліфікованого електронного підпису або удосконаленого електронного підпису, що базується на кваліфікованому сертифікаті електронного підпису, уповноваженої особи до </w:t>
      </w:r>
      <w:r w:rsidRPr="009857F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10 числа місяця, наступного за звітним періодом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335F7" w:rsidRPr="00BF4C43" w:rsidRDefault="00CA29D7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виявлення ініціатором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або програми за результатами перевірки щорічного/щоквартального звіту неефективного здійснення заходу (заходів)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або програми ініціатор може подавати пропозиції щодо коригування заходу (заходів), які передбачені планом реалізації про</w:t>
      </w:r>
      <w:r w:rsidR="00BF4C43"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857FC">
        <w:rPr>
          <w:rFonts w:ascii="Times New Roman" w:eastAsia="Times New Roman" w:hAnsi="Times New Roman" w:cs="Times New Roman"/>
          <w:sz w:val="28"/>
          <w:szCs w:val="28"/>
          <w:lang w:val="uk-UA"/>
        </w:rPr>
        <w:t>кту або програми</w:t>
      </w: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A29D7" w:rsidRPr="00BF4C43" w:rsidRDefault="00127489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15.</w:t>
      </w:r>
      <w:r w:rsidR="00CA29D7"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разі зміни параметрів, що можуть мати вплив на реалізацію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(зокрема зміна обсягів робіт, строків реалізації, бюджету, джерел фінансування), виконавець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за погодженням з ініціатором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може здійснювати їх коригування за допомогою програмних засобів Єдиної інформаційної системи з накладенням кваліфікованого електронного підпису або удосконаленого електронного підпису, що базується на кваліфікованому сертифікаті електронного підпису, уповноваженої особи.</w:t>
      </w:r>
    </w:p>
    <w:p w:rsidR="00CA29D7" w:rsidRPr="00BF4C43" w:rsidRDefault="00CA29D7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Ініціатор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також має право ініціювати таке коригування.</w:t>
      </w:r>
    </w:p>
    <w:p w:rsidR="00CA29D7" w:rsidRPr="00BF4C43" w:rsidRDefault="00CA29D7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На етапі реалізації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ктів та програм коригування обґрунтувань, здійснених на етапі підготовки таких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ктів та програм, не здійснюється, крім випадків, визначених у пункті </w:t>
      </w:r>
      <w:r w:rsidR="00836EF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цього Порядку.</w:t>
      </w:r>
    </w:p>
    <w:p w:rsidR="00CA29D7" w:rsidRPr="00BF4C43" w:rsidRDefault="00127489" w:rsidP="0012748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</w:t>
      </w:r>
      <w:r w:rsidR="00CA29D7"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місячний строк з дня завершення реалізації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виконавець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вносить до Єдиної інформаційної системи та подає ініціатору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з використанням програмних засобів та з накладенням кваліфікованого електронного підпису або удосконаленого електронного підпису, що базується на кваліфікованому сертифікаті електронного підпису, уповноваженої особи виконавця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звіт про завершення реалізації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A29D7"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 програми із зазначенням інформації про:</w:t>
      </w:r>
    </w:p>
    <w:p w:rsidR="00CA29D7" w:rsidRPr="00BF4C43" w:rsidRDefault="00CA29D7" w:rsidP="00A67F64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підтвердження фактично здійснених заходів;</w:t>
      </w:r>
    </w:p>
    <w:p w:rsidR="00CA29D7" w:rsidRPr="00BF4C43" w:rsidRDefault="00CA29D7" w:rsidP="00A67F64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порівняння фактичних строків виконання заходів із запланованими;</w:t>
      </w:r>
    </w:p>
    <w:p w:rsidR="00CA29D7" w:rsidRPr="00BF4C43" w:rsidRDefault="00CA29D7" w:rsidP="00A67F64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причини відхилень від строків виконання, якщо такі мали місце;</w:t>
      </w:r>
    </w:p>
    <w:p w:rsidR="00CA29D7" w:rsidRPr="00BF4C43" w:rsidRDefault="00CA29D7" w:rsidP="00A67F64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оцінку досягнення показників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або програми та завдань програми;</w:t>
      </w:r>
    </w:p>
    <w:p w:rsidR="00CA29D7" w:rsidRPr="00BF4C43" w:rsidRDefault="00CA29D7" w:rsidP="00A67F64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про індикатори оцінки досягнення результатів;</w:t>
      </w:r>
    </w:p>
    <w:p w:rsidR="00CA29D7" w:rsidRPr="00BF4C43" w:rsidRDefault="00CA29D7" w:rsidP="00A67F64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порівняння фактичних результатів з очікуваними;</w:t>
      </w:r>
    </w:p>
    <w:p w:rsidR="00CA29D7" w:rsidRPr="00BF4C43" w:rsidRDefault="00CA29D7" w:rsidP="00A67F64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 впливу реалізації про</w:t>
      </w:r>
      <w:r w:rsid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або програми на соціально-економічний розвиток, екологічну ситуацію тощо;</w:t>
      </w:r>
    </w:p>
    <w:p w:rsidR="00CA29D7" w:rsidRPr="00BF4C43" w:rsidRDefault="00CA29D7" w:rsidP="00A67F64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звіт про використання коштів, виділених на реалізацію програми;</w:t>
      </w:r>
    </w:p>
    <w:p w:rsidR="00CA29D7" w:rsidRPr="00127489" w:rsidRDefault="00CA29D7" w:rsidP="00127489">
      <w:pPr>
        <w:pStyle w:val="a9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 ефективності використання коштів.</w:t>
      </w:r>
    </w:p>
    <w:p w:rsidR="006422EF" w:rsidRPr="00165241" w:rsidRDefault="00CA29D7" w:rsidP="00A67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у звіті може бути зазначено іншу інформацію залежно від специфіки конкретного про</w:t>
      </w:r>
      <w:r w:rsidR="006A56F0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BF4C43">
        <w:rPr>
          <w:rFonts w:ascii="Times New Roman" w:eastAsia="Times New Roman" w:hAnsi="Times New Roman" w:cs="Times New Roman"/>
          <w:sz w:val="28"/>
          <w:szCs w:val="28"/>
          <w:lang w:val="uk-UA"/>
        </w:rPr>
        <w:t>кту та/або програми і особливостей напряму публічного інвестування відповідної галузі (сектору).</w:t>
      </w:r>
    </w:p>
    <w:p w:rsidR="00826323" w:rsidRDefault="00826323" w:rsidP="00A67F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006"/>
      </w:tblGrid>
      <w:tr w:rsidR="00826323" w:rsidTr="00826323">
        <w:tc>
          <w:tcPr>
            <w:tcW w:w="4673" w:type="dxa"/>
          </w:tcPr>
          <w:p w:rsidR="008E00A6" w:rsidRDefault="008E00A6" w:rsidP="0082632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E00A6" w:rsidRDefault="008E00A6" w:rsidP="0082632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26323" w:rsidRPr="00FD4F11" w:rsidRDefault="00826323" w:rsidP="008263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Начальник управління інвестицій, міжнародної співпраці, охорони довкілля, енергоефективності та кліматичної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6F3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політики Сумської міської ради</w:t>
            </w:r>
          </w:p>
        </w:tc>
        <w:tc>
          <w:tcPr>
            <w:tcW w:w="5006" w:type="dxa"/>
          </w:tcPr>
          <w:p w:rsidR="00826323" w:rsidRDefault="00826323" w:rsidP="00425C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26323" w:rsidRDefault="00826323" w:rsidP="00425C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26323" w:rsidRDefault="00826323" w:rsidP="00425C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26323" w:rsidRDefault="00826323" w:rsidP="00425C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E00A6" w:rsidRDefault="008E00A6" w:rsidP="00425C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E00A6" w:rsidRDefault="008E00A6" w:rsidP="00425C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26323" w:rsidRDefault="00826323" w:rsidP="00425C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Анастасія ТКАЧОВА</w:t>
            </w:r>
          </w:p>
        </w:tc>
      </w:tr>
    </w:tbl>
    <w:p w:rsidR="00392483" w:rsidRPr="00165241" w:rsidRDefault="00392483" w:rsidP="008263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392483" w:rsidRPr="00165241" w:rsidSect="008E00A6">
      <w:pgSz w:w="12240" w:h="15840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134" w:rsidRDefault="00FB2134" w:rsidP="0070701B">
      <w:pPr>
        <w:spacing w:after="0" w:line="240" w:lineRule="auto"/>
      </w:pPr>
      <w:r>
        <w:separator/>
      </w:r>
    </w:p>
  </w:endnote>
  <w:endnote w:type="continuationSeparator" w:id="0">
    <w:p w:rsidR="00FB2134" w:rsidRDefault="00FB2134" w:rsidP="0070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134" w:rsidRDefault="00FB2134" w:rsidP="0070701B">
      <w:pPr>
        <w:spacing w:after="0" w:line="240" w:lineRule="auto"/>
      </w:pPr>
      <w:r>
        <w:separator/>
      </w:r>
    </w:p>
  </w:footnote>
  <w:footnote w:type="continuationSeparator" w:id="0">
    <w:p w:rsidR="00FB2134" w:rsidRDefault="00FB2134" w:rsidP="00707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5FD"/>
    <w:multiLevelType w:val="hybridMultilevel"/>
    <w:tmpl w:val="71E83D2C"/>
    <w:lvl w:ilvl="0" w:tplc="8098AA3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133B68"/>
    <w:multiLevelType w:val="hybridMultilevel"/>
    <w:tmpl w:val="6DA26DDE"/>
    <w:lvl w:ilvl="0" w:tplc="0816AD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66034"/>
    <w:multiLevelType w:val="hybridMultilevel"/>
    <w:tmpl w:val="FB28E5A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AEC24B3"/>
    <w:multiLevelType w:val="hybridMultilevel"/>
    <w:tmpl w:val="33A6BD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3E4466B"/>
    <w:multiLevelType w:val="hybridMultilevel"/>
    <w:tmpl w:val="73644CFC"/>
    <w:lvl w:ilvl="0" w:tplc="0816AD6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694B"/>
    <w:multiLevelType w:val="hybridMultilevel"/>
    <w:tmpl w:val="424CAD46"/>
    <w:lvl w:ilvl="0" w:tplc="0816AD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296C9F"/>
    <w:multiLevelType w:val="multilevel"/>
    <w:tmpl w:val="BBD2DAAA"/>
    <w:lvl w:ilvl="0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9" w:hanging="2160"/>
      </w:pPr>
      <w:rPr>
        <w:rFonts w:hint="default"/>
      </w:rPr>
    </w:lvl>
  </w:abstractNum>
  <w:abstractNum w:abstractNumId="7" w15:restartNumberingAfterBreak="0">
    <w:nsid w:val="4A2B2512"/>
    <w:multiLevelType w:val="hybridMultilevel"/>
    <w:tmpl w:val="BBA6783A"/>
    <w:lvl w:ilvl="0" w:tplc="0816AD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0A"/>
    <w:rsid w:val="00036761"/>
    <w:rsid w:val="0005238F"/>
    <w:rsid w:val="00067A8A"/>
    <w:rsid w:val="00071001"/>
    <w:rsid w:val="000858C8"/>
    <w:rsid w:val="00087DA4"/>
    <w:rsid w:val="0009787F"/>
    <w:rsid w:val="000A0B01"/>
    <w:rsid w:val="000A7140"/>
    <w:rsid w:val="000B69EA"/>
    <w:rsid w:val="000F1E22"/>
    <w:rsid w:val="00127489"/>
    <w:rsid w:val="00147A58"/>
    <w:rsid w:val="00156701"/>
    <w:rsid w:val="00165241"/>
    <w:rsid w:val="001947E4"/>
    <w:rsid w:val="001B7033"/>
    <w:rsid w:val="001C37E2"/>
    <w:rsid w:val="001E07EA"/>
    <w:rsid w:val="00227119"/>
    <w:rsid w:val="00235D3D"/>
    <w:rsid w:val="002749C7"/>
    <w:rsid w:val="0029027A"/>
    <w:rsid w:val="0029709F"/>
    <w:rsid w:val="002D7C27"/>
    <w:rsid w:val="002E25B0"/>
    <w:rsid w:val="002E2808"/>
    <w:rsid w:val="002E7C04"/>
    <w:rsid w:val="002F5BFD"/>
    <w:rsid w:val="00312891"/>
    <w:rsid w:val="00343DBD"/>
    <w:rsid w:val="00360348"/>
    <w:rsid w:val="00385DFE"/>
    <w:rsid w:val="00392483"/>
    <w:rsid w:val="00392F91"/>
    <w:rsid w:val="003B6868"/>
    <w:rsid w:val="003C3F2B"/>
    <w:rsid w:val="003F0645"/>
    <w:rsid w:val="004031A7"/>
    <w:rsid w:val="0043039B"/>
    <w:rsid w:val="00447645"/>
    <w:rsid w:val="004568B8"/>
    <w:rsid w:val="00477ADB"/>
    <w:rsid w:val="004807B6"/>
    <w:rsid w:val="004A0FCE"/>
    <w:rsid w:val="004C05B2"/>
    <w:rsid w:val="004E10E3"/>
    <w:rsid w:val="004E5996"/>
    <w:rsid w:val="005231E6"/>
    <w:rsid w:val="00582FE5"/>
    <w:rsid w:val="00584479"/>
    <w:rsid w:val="005942B9"/>
    <w:rsid w:val="005B6C71"/>
    <w:rsid w:val="005D0FDF"/>
    <w:rsid w:val="005D6561"/>
    <w:rsid w:val="005E63A2"/>
    <w:rsid w:val="00616C01"/>
    <w:rsid w:val="00620C1A"/>
    <w:rsid w:val="006422EF"/>
    <w:rsid w:val="00651267"/>
    <w:rsid w:val="00663E32"/>
    <w:rsid w:val="00667612"/>
    <w:rsid w:val="00672029"/>
    <w:rsid w:val="006723E4"/>
    <w:rsid w:val="006A56F0"/>
    <w:rsid w:val="006E664F"/>
    <w:rsid w:val="006E6DDE"/>
    <w:rsid w:val="006F3B0D"/>
    <w:rsid w:val="006F5E01"/>
    <w:rsid w:val="0070701B"/>
    <w:rsid w:val="00707C95"/>
    <w:rsid w:val="0072282A"/>
    <w:rsid w:val="00726E9A"/>
    <w:rsid w:val="00756A18"/>
    <w:rsid w:val="00762E25"/>
    <w:rsid w:val="00796B93"/>
    <w:rsid w:val="007A0FA8"/>
    <w:rsid w:val="007C2059"/>
    <w:rsid w:val="007E65C9"/>
    <w:rsid w:val="00812086"/>
    <w:rsid w:val="00826323"/>
    <w:rsid w:val="008335F7"/>
    <w:rsid w:val="00835A26"/>
    <w:rsid w:val="00836EFA"/>
    <w:rsid w:val="00853160"/>
    <w:rsid w:val="00880E63"/>
    <w:rsid w:val="00890DFC"/>
    <w:rsid w:val="00890F7A"/>
    <w:rsid w:val="00895A3C"/>
    <w:rsid w:val="008C058C"/>
    <w:rsid w:val="008E00A6"/>
    <w:rsid w:val="008E5AE0"/>
    <w:rsid w:val="008E6B64"/>
    <w:rsid w:val="00906ED8"/>
    <w:rsid w:val="009351CB"/>
    <w:rsid w:val="00936A6B"/>
    <w:rsid w:val="009619C9"/>
    <w:rsid w:val="00977923"/>
    <w:rsid w:val="009815C3"/>
    <w:rsid w:val="009857FC"/>
    <w:rsid w:val="00A019E4"/>
    <w:rsid w:val="00A02F9D"/>
    <w:rsid w:val="00A07576"/>
    <w:rsid w:val="00A23B99"/>
    <w:rsid w:val="00A25472"/>
    <w:rsid w:val="00A30791"/>
    <w:rsid w:val="00A67F64"/>
    <w:rsid w:val="00A86443"/>
    <w:rsid w:val="00AD5FE5"/>
    <w:rsid w:val="00AF25E4"/>
    <w:rsid w:val="00B35C65"/>
    <w:rsid w:val="00B434B4"/>
    <w:rsid w:val="00B5629A"/>
    <w:rsid w:val="00B936EC"/>
    <w:rsid w:val="00BB2DAE"/>
    <w:rsid w:val="00BB5039"/>
    <w:rsid w:val="00BB652E"/>
    <w:rsid w:val="00BC4A0A"/>
    <w:rsid w:val="00BC4B9B"/>
    <w:rsid w:val="00BD63F2"/>
    <w:rsid w:val="00BF4C43"/>
    <w:rsid w:val="00C06E78"/>
    <w:rsid w:val="00C35A6A"/>
    <w:rsid w:val="00C54F0A"/>
    <w:rsid w:val="00C67176"/>
    <w:rsid w:val="00C91EB2"/>
    <w:rsid w:val="00CA29D7"/>
    <w:rsid w:val="00CA58EB"/>
    <w:rsid w:val="00CA6083"/>
    <w:rsid w:val="00CB273F"/>
    <w:rsid w:val="00CC626D"/>
    <w:rsid w:val="00CC6AC4"/>
    <w:rsid w:val="00D10DC9"/>
    <w:rsid w:val="00D25ECF"/>
    <w:rsid w:val="00D562DC"/>
    <w:rsid w:val="00D72638"/>
    <w:rsid w:val="00D94622"/>
    <w:rsid w:val="00D97B58"/>
    <w:rsid w:val="00DC6591"/>
    <w:rsid w:val="00E12855"/>
    <w:rsid w:val="00E36E78"/>
    <w:rsid w:val="00E92DA4"/>
    <w:rsid w:val="00EA1120"/>
    <w:rsid w:val="00EC697A"/>
    <w:rsid w:val="00EC7172"/>
    <w:rsid w:val="00EE319C"/>
    <w:rsid w:val="00F7749F"/>
    <w:rsid w:val="00F77623"/>
    <w:rsid w:val="00FA029A"/>
    <w:rsid w:val="00FB2134"/>
    <w:rsid w:val="00FC3285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8506"/>
  <w15:chartTrackingRefBased/>
  <w15:docId w15:val="{A7861829-7ED4-453A-8C38-4261233E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5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568B8"/>
  </w:style>
  <w:style w:type="paragraph" w:customStyle="1" w:styleId="rvps2">
    <w:name w:val="rvps2"/>
    <w:basedOn w:val="a"/>
    <w:rsid w:val="0045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568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027A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70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01B"/>
  </w:style>
  <w:style w:type="paragraph" w:styleId="a7">
    <w:name w:val="footer"/>
    <w:basedOn w:val="a"/>
    <w:link w:val="a8"/>
    <w:uiPriority w:val="99"/>
    <w:unhideWhenUsed/>
    <w:rsid w:val="007070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01B"/>
  </w:style>
  <w:style w:type="paragraph" w:styleId="a9">
    <w:name w:val="List Paragraph"/>
    <w:basedOn w:val="a"/>
    <w:uiPriority w:val="34"/>
    <w:qFormat/>
    <w:rsid w:val="004C05B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23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3B9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26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1E0C-CC2C-489F-AF0A-0AD19070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Левицька Аліна Сергіївна</dc:creator>
  <cp:keywords/>
  <dc:description/>
  <cp:lastModifiedBy>Левицька Аліна Сергіївна</cp:lastModifiedBy>
  <cp:revision>26</cp:revision>
  <cp:lastPrinted>2026-04-15T10:56:00Z</cp:lastPrinted>
  <dcterms:created xsi:type="dcterms:W3CDTF">2026-03-05T15:28:00Z</dcterms:created>
  <dcterms:modified xsi:type="dcterms:W3CDTF">2026-05-28T12:00:00Z</dcterms:modified>
</cp:coreProperties>
</file>