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45" w:rsidRPr="00763971" w:rsidRDefault="00763971" w:rsidP="00763971">
      <w:pPr>
        <w:spacing w:line="240" w:lineRule="auto"/>
        <w:ind w:right="-60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639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763971" w:rsidRPr="00763971" w:rsidRDefault="00763971" w:rsidP="00763971">
      <w:pPr>
        <w:spacing w:line="240" w:lineRule="auto"/>
        <w:ind w:left="4320" w:right="-607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3971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763971" w:rsidRPr="00763971" w:rsidRDefault="00DB7432" w:rsidP="00763971">
      <w:pPr>
        <w:spacing w:line="240" w:lineRule="auto"/>
        <w:ind w:left="4320" w:right="-607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  22.05.2026       </w:t>
      </w:r>
      <w:r w:rsidR="00763971" w:rsidRPr="007639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1451</w:t>
      </w:r>
    </w:p>
    <w:p w:rsidR="00763971" w:rsidRDefault="00763971" w:rsidP="00353A26">
      <w:pPr>
        <w:spacing w:line="240" w:lineRule="auto"/>
        <w:ind w:left="141"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A26" w:rsidRDefault="00353A26" w:rsidP="00353A26">
      <w:pPr>
        <w:spacing w:line="240" w:lineRule="auto"/>
        <w:ind w:left="141"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353A26" w:rsidRDefault="00353A26" w:rsidP="00353A26">
      <w:pPr>
        <w:spacing w:line="240" w:lineRule="auto"/>
        <w:ind w:left="141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звіту про хід виконання Програми розвитку та вдосконалення пасажирського транспорту і мобільності на території Сумської міської територіальної громади на </w:t>
      </w:r>
      <w:r w:rsidR="00074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2025-2027 роки</w:t>
      </w:r>
      <w:r w:rsidR="002C42DF" w:rsidRPr="002C42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затвердженої наказом Сумської міської військової адмініс</w:t>
      </w:r>
      <w:r w:rsidR="001A4D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трації від 30.01.2025 №17-СМВА  </w:t>
      </w:r>
      <w:r w:rsidR="002C42DF" w:rsidRPr="002C42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(зі змінами),</w:t>
      </w:r>
      <w:r w:rsidR="002C42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2C42DF" w:rsidRPr="002C42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 підсумками 2025 року</w:t>
      </w:r>
    </w:p>
    <w:p w:rsidR="00353A26" w:rsidRPr="002C42DF" w:rsidRDefault="00353A26" w:rsidP="00353A26">
      <w:pPr>
        <w:spacing w:line="240" w:lineRule="auto"/>
        <w:ind w:left="141"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A26" w:rsidRPr="00AF46E4" w:rsidRDefault="00353A26" w:rsidP="00B74BB2">
      <w:pPr>
        <w:pStyle w:val="a3"/>
        <w:numPr>
          <w:ilvl w:val="0"/>
          <w:numId w:val="1"/>
        </w:num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F46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дані</w:t>
      </w:r>
    </w:p>
    <w:p w:rsidR="00AF46E4" w:rsidRPr="00AF46E4" w:rsidRDefault="00AF46E4" w:rsidP="00AF46E4">
      <w:pPr>
        <w:spacing w:line="240" w:lineRule="auto"/>
        <w:ind w:right="-60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74A92" w:rsidRDefault="00353A26" w:rsidP="00474A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«Програма розвитку та вдосконалення пасажирського транспорту і мобільності на території Сумської</w:t>
      </w:r>
      <w:r w:rsidRPr="000A4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</w:t>
      </w:r>
      <w:r w:rsidR="00A22233">
        <w:rPr>
          <w:rFonts w:ascii="Times New Roman" w:eastAsia="Times New Roman" w:hAnsi="Times New Roman" w:cs="Times New Roman"/>
          <w:sz w:val="28"/>
          <w:szCs w:val="28"/>
          <w:lang w:val="uk-UA"/>
        </w:rPr>
        <w:t>ї територіальної громади на 2025-2027</w:t>
      </w:r>
      <w:r w:rsidRPr="000A4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(далі-Програма)</w:t>
      </w:r>
      <w:r w:rsidRPr="000A4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затверджена </w:t>
      </w:r>
      <w:r w:rsidR="00A22233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Сумської міської військової адміністрації від 30 січня  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="00C402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№17-СМВА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(зі змінами). </w:t>
      </w:r>
      <w:r w:rsidR="00625E5A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 реалізації Програми – 3 роки.</w:t>
      </w:r>
    </w:p>
    <w:p w:rsidR="00474A92" w:rsidRDefault="001923E9" w:rsidP="00474A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Розробником 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є </w:t>
      </w:r>
      <w:r w:rsidR="00D60BFB" w:rsidRPr="00D60BFB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="00625E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партамент інфраструктури міста </w:t>
      </w:r>
      <w:r w:rsidR="00D60BFB" w:rsidRPr="00D60BF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Відповідальні виконавці – </w:t>
      </w:r>
      <w:r w:rsidR="001A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 інфраструктури міста </w:t>
      </w:r>
      <w:r w:rsidR="001A4DEA" w:rsidRPr="00D60BF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 w:rsidR="001A4DEA">
        <w:rPr>
          <w:rFonts w:ascii="Times New Roman" w:eastAsia="Times New Roman" w:hAnsi="Times New Roman" w:cs="Times New Roman"/>
          <w:sz w:val="28"/>
          <w:szCs w:val="28"/>
          <w:lang w:val="uk-UA"/>
        </w:rPr>
        <w:t>, Виконавчий комітет</w:t>
      </w:r>
      <w:r w:rsidR="007E5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міської ради</w:t>
      </w:r>
      <w:r w:rsidR="001A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3B4E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транспорту, </w:t>
      </w:r>
      <w:r w:rsidR="003B4E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транспортної інфраструктури та </w:t>
      </w:r>
      <w:r w:rsidR="00625E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зв’язку 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 w:rsidR="001A4DE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74A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53A26" w:rsidRDefault="00353A26" w:rsidP="00474A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Співвиконавцями Програми є:</w:t>
      </w:r>
      <w:r w:rsidR="002F55F7">
        <w:rPr>
          <w:lang w:val="uk-UA"/>
        </w:rPr>
        <w:t xml:space="preserve"> </w:t>
      </w:r>
      <w:r w:rsidR="007E5141" w:rsidRPr="007E5141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 інфраструктури міста Сумської міської ради</w:t>
      </w:r>
      <w:r w:rsidR="007E514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Комунальне підприємство Сумської міської ради «Електроавтотранс», </w:t>
      </w:r>
      <w:r w:rsidR="007E5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капітального будівництва та дорожнього господарства Сумської міської ради,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Сумської міської ради</w:t>
      </w:r>
      <w:r w:rsidR="00474A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53A26" w:rsidRDefault="00353A26" w:rsidP="006B4BB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Головний/головні розпорядник/розпорядники бюджетних коштів:</w:t>
      </w:r>
      <w:r>
        <w:rPr>
          <w:lang w:val="uk-UA"/>
        </w:rPr>
        <w:t xml:space="preserve"> </w:t>
      </w:r>
      <w:r w:rsidR="007E5141" w:rsidRPr="007E5141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2F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епартамент інфраструктури міста </w:t>
      </w:r>
      <w:r w:rsidR="007E5141" w:rsidRPr="007E5141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ради,</w:t>
      </w:r>
      <w:r w:rsidR="007E51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74A92" w:rsidRPr="00474A9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Управління </w:t>
      </w:r>
      <w:bookmarkStart w:id="0" w:name="_GoBack"/>
      <w:bookmarkEnd w:id="0"/>
      <w:r w:rsidR="00474A92" w:rsidRPr="00474A9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капітального будівництва та дорожнього господарства Сумської міської ради</w:t>
      </w:r>
      <w:r w:rsidR="007E51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="007E5141" w:rsidRPr="007E5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5141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Сумської міської ради.</w:t>
      </w:r>
    </w:p>
    <w:p w:rsidR="006B4BBB" w:rsidRDefault="006B4BBB" w:rsidP="006B4BBB">
      <w:pPr>
        <w:spacing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A26" w:rsidRDefault="00353A26" w:rsidP="00353A26">
      <w:pPr>
        <w:spacing w:after="20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Узагальнена інформація щодо виконання завдань та заходів </w:t>
      </w:r>
    </w:p>
    <w:p w:rsidR="00923E04" w:rsidRDefault="003D6DD6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3D6DD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Протягом 2025 року КП СМР «Електроавтотранс» здійснювало надання соціально значущих послуг з пасажирських перевезень на 10 автобусних маршрутах  протяжністю 209,2 км та 17 тролейбусних маршрутах протяжністю 350,1 км.. </w:t>
      </w:r>
      <w:r w:rsidR="006C0D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поточний період 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кількість перевезени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х пасажирів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КП СМР «Електроавтотранс»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комунальним транспортом склала 13885,7 тис. чол.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електротранспортом </w:t>
      </w:r>
      <w:r w:rsidR="00F0189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– </w:t>
      </w:r>
      <w:r w:rsidR="00BF1FB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9203,8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тис.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чол., 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автотранспортом – </w:t>
      </w:r>
      <w:r w:rsidR="00BF1FB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4681,9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тис.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чол.</w:t>
      </w:r>
      <w:r w:rsidR="00F0189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</w:t>
      </w:r>
      <w:r w:rsidR="00353A26" w:rsidRPr="006324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1FB8" w:rsidRPr="00BF1FB8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Спостерігалося збільшення кількості перевезених пасажирів міським електротранспортом (тролейбусами</w:t>
      </w:r>
      <w:r w:rsidR="00E00438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 на 16,4</w:t>
      </w:r>
      <w:r w:rsidR="00BF1FB8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%  та автотранспортом </w:t>
      </w:r>
      <w:r w:rsidR="00E00438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 14,6</w:t>
      </w:r>
      <w:r w:rsidR="00BF1FB8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%</w:t>
      </w:r>
      <w:r w:rsidR="00E00438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порівняно з попереднім роком</w:t>
      </w:r>
      <w:r w:rsidR="00BF1FB8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353A26" w:rsidRDefault="00353A26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Для забезпечення безперебійної роботи КП СМР «Електроавтотранс» з бюджету Сумської міської територіальної громади здійснювалось </w:t>
      </w:r>
      <w:r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>відшкодування різниці між встановленими та економічно обґрунтованими тарифами на п</w:t>
      </w:r>
      <w:r w:rsidR="00BC015C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ослуги з перевезення пасажирів  на суму 102,7 </w:t>
      </w:r>
      <w:r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млн. грн (на автобу</w:t>
      </w:r>
      <w:r w:rsidR="006439C8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сних маршрутах  – 31,5</w:t>
      </w:r>
      <w:r w:rsidR="00C220FA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млн. грн  (</w:t>
      </w:r>
      <w:r w:rsidR="0047076E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процент виконання складає</w:t>
      </w:r>
      <w:r w:rsidR="006439C8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98,9</w:t>
      </w:r>
      <w:r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% від запланов</w:t>
      </w:r>
      <w:r w:rsidR="0047076E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аних видатків</w:t>
      </w:r>
      <w:r w:rsidR="00C220FA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</w:t>
      </w:r>
      <w:r w:rsidR="0047076E"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;</w:t>
      </w:r>
      <w:r w:rsid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 тролейбусних маршрутах </w:t>
      </w:r>
      <w:r w:rsidR="00D2199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–</w:t>
      </w:r>
      <w:r w:rsid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71,3</w:t>
      </w:r>
      <w:r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млн. г</w:t>
      </w:r>
      <w:r w:rsid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рн (процент виконання складає 100</w:t>
      </w:r>
      <w:r w:rsidRPr="006439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% від запланованих видатків)).</w:t>
      </w:r>
    </w:p>
    <w:p w:rsidR="002C0998" w:rsidRDefault="002C0998" w:rsidP="002C0998">
      <w:pPr>
        <w:spacing w:after="20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Для підтримання стабільної діяльності КП СМР «Електроавтотранс» у                202</w:t>
      </w:r>
      <w:r w:rsidR="00B822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році було надано фінансову підтримку з бюджету Сумської міської територіальної громади  на </w:t>
      </w:r>
      <w:r w:rsidR="00B822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суму 3 657,7</w:t>
      </w:r>
      <w:r w:rsidRPr="00CF2FC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тис. грн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57957">
        <w:rPr>
          <w:lang w:val="uk-UA"/>
        </w:rPr>
        <w:t xml:space="preserve"> </w:t>
      </w:r>
      <w:r w:rsidRPr="00957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B822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закупівлю</w:t>
      </w:r>
      <w:r w:rsidR="00412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матеріалів для часткового відновлення пошкодженої контактно-кабельної мережі, закупівлю паливно-мастильних матеріалів та на придбання матеріалів, необхідних для облаштування опалення ремонтних цехів.</w:t>
      </w:r>
    </w:p>
    <w:p w:rsidR="00353A26" w:rsidRDefault="001E4EAD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Захід 1</w:t>
      </w:r>
      <w:r w:rsidR="003B48C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.1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«Проведення середніх ремонтів тролейбусів» Підпрограми 1 «Розвиток та вдосконалення електротранспорту» виконаний за власні кошти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КП СМР «Електроавтотранс» на 16,2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% від запланованого через брак коштів. </w:t>
      </w:r>
    </w:p>
    <w:p w:rsidR="00353A26" w:rsidRDefault="003B48C9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Захід 2.3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«Заміна аварійних опор контактної мережі» Підпрограми 1 «Розвиток та вдосконалення електротранспорту» 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виконувався 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через брак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обігових 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коштів КП СМР «Електроавтотранс».</w:t>
      </w:r>
    </w:p>
    <w:p w:rsidR="00353A26" w:rsidRDefault="003B48C9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Захід 3.1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«</w:t>
      </w:r>
      <w:r w:rsidR="005C67B8" w:rsidRPr="005C67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Поточний ремонт кабельних ліній 6 кВ, 600В ТП №1 (вул</w:t>
      </w:r>
      <w:r w:rsidR="005C67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 Британська,</w:t>
      </w:r>
      <w:r w:rsidR="005C67B8" w:rsidRPr="005C67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2/1)</w:t>
      </w:r>
      <w:r w:rsidR="00353A26" w:rsidRPr="00A265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»</w:t>
      </w:r>
      <w:r w:rsidR="005C67B8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 xml:space="preserve"> </w:t>
      </w:r>
      <w:r w:rsidR="005C67B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Підпрограми 1 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«Розвиток та вдосконалення електротранспорту»</w:t>
      </w:r>
      <w:r w:rsidR="00353A26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 xml:space="preserve"> </w:t>
      </w:r>
      <w:r w:rsidR="00353A26" w:rsidRPr="00A265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виконаний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5C67B8" w:rsidRPr="005C67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 власні кошти КП СМР «Електроавтотранс»</w:t>
      </w:r>
      <w:r w:rsidR="005C67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на 38,3% від запланованого показника </w:t>
      </w:r>
      <w:r w:rsidR="005C67B8" w:rsidRPr="005C67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через брак коштів</w:t>
      </w:r>
      <w:r w:rsidR="00353A26" w:rsidRPr="00A265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. </w:t>
      </w:r>
    </w:p>
    <w:p w:rsidR="00495E2A" w:rsidRPr="00A265F8" w:rsidRDefault="00495E2A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Захід 3.3 </w:t>
      </w:r>
      <w:r w:rsidR="00E50C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«</w:t>
      </w:r>
      <w:r w:rsidR="00E50C05" w:rsidRPr="00E50C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Заміна живлячих кабелів +600В 2-х фідерів ТП-14</w:t>
      </w:r>
      <w:r w:rsidR="00E50C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захід 3.7 </w:t>
      </w:r>
      <w:r w:rsid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«</w:t>
      </w:r>
      <w:r w:rsidR="00F57EDD" w:rsidRP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Монтаж розворотного кільця на контактній мережі на перехресті пр-та М. Лушпи та вул</w:t>
      </w:r>
      <w:r w:rsid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="00F57EDD" w:rsidRP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ЗСУ</w:t>
      </w:r>
      <w:r w:rsid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» </w:t>
      </w:r>
      <w:r w:rsidR="00F57EDD" w:rsidRP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Підпрограми 1 «Розвиток та вдосконалення електротранспорту»</w:t>
      </w:r>
      <w:r w:rsidR="00F57ED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не були виконані КП СМР «Електроавтотранс» через нестачу облікових коштів. </w:t>
      </w:r>
    </w:p>
    <w:p w:rsidR="00353A26" w:rsidRPr="00034341" w:rsidRDefault="00875C24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Захо</w:t>
      </w:r>
      <w:r w:rsidR="003B48C9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</w:t>
      </w:r>
      <w:r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="003B48C9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1.1 «Придбання рухомого складу автобусів середньої місткості» та </w:t>
      </w:r>
      <w:r w:rsidR="003B48C9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2.1 </w:t>
      </w:r>
      <w:r w:rsidR="00AF46E4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«Проведення середніх ремонтів автобусів» Підпрограми </w:t>
      </w:r>
      <w:r w:rsidR="00353A26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 «Розвиток пасажирського 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автотранспорту»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не </w:t>
      </w:r>
      <w:r w:rsidR="003570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виконувались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у зв’язку з </w:t>
      </w:r>
      <w:r w:rsidR="003570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відсутністю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агальної </w:t>
      </w:r>
      <w:r w:rsidR="003570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потреби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завдяки</w:t>
      </w:r>
      <w:r w:rsidR="003570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отриманням КП СМР «Електроавтотранс» автобусів за рахунок гуманітарно-технічної допомоги</w:t>
      </w:r>
      <w:r w:rsid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а саме: </w:t>
      </w:r>
      <w:r w:rsidR="00221F66" w:rsidRP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35 одиниць — від Управління ООН з обслуговування проєктів (ЮНОПС), 5 одиниць — від АС «Транспортне підприємство міста Прага» та 5 одиниць — від АТ «Муніципальне транспортне підприємство міста Краків</w:t>
      </w:r>
      <w:r w:rsidR="00221F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»</w:t>
      </w:r>
      <w:r w:rsidR="00353A26" w:rsidRPr="000343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353A26" w:rsidRPr="00034341" w:rsidRDefault="003B48C9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Захід 1.1</w:t>
      </w:r>
      <w:r w:rsidR="00353A26" w:rsidRPr="000343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</w:t>
      </w:r>
      <w:r w:rsidR="00353A26" w:rsidRPr="0003434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Проведення обстеження пасажиропотоку (з розробкою сценарію транспортної моделі) на маршрутах пасажирського транспорту, що не виходять за межі Сумської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»</w:t>
      </w:r>
      <w:r w:rsidR="00353A26" w:rsidRPr="000343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Підпрограми 4. «</w:t>
      </w:r>
      <w:r w:rsidR="004448CC" w:rsidRPr="004448C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Організація  перевезення пасажирів на маршрутах пасажирського транспорту</w:t>
      </w:r>
      <w:r w:rsidR="00353A26" w:rsidRPr="000343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» невиконаний через </w:t>
      </w:r>
      <w:r w:rsidR="004448C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загрозливу безпекову ситуацію на тер</w:t>
      </w:r>
      <w:r w:rsidR="008E16C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иторії Сумської міської громади</w:t>
      </w:r>
      <w:r w:rsidR="00353A26" w:rsidRPr="000343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353A26" w:rsidRPr="002A7D52" w:rsidRDefault="00D45485" w:rsidP="006B4BB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>Захід 1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</w:t>
      </w:r>
      <w:r w:rsidRPr="00D4548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Впровадження автоматизованої системи обліку оплати проїзду в міському пасажирському транспорті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Підпрограми 5 «</w:t>
      </w:r>
      <w:r w:rsidR="00353A26" w:rsidRPr="00050D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Впровадження єдиної інтегрованої інтелектуальної транспортної системи у складі автоматизованої системи обліку оплати проїзду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353A26" w:rsidRPr="00050D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та автоматизованої системи диспетчерського управління в міському пасажирському</w:t>
      </w:r>
      <w:r w:rsidR="00353A2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353A26" w:rsidRPr="00050D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транспорті </w:t>
      </w:r>
      <w:r w:rsidR="00353A26" w:rsidRPr="002A7D5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>на території Сумської міської територіальної громади</w:t>
      </w:r>
      <w:r w:rsidR="00353A26" w:rsidRPr="002A7D5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»</w:t>
      </w:r>
      <w:r w:rsidR="00353A26" w:rsidRPr="002A7D5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="00353A26" w:rsidRPr="002A7D5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не був реалізований через запроваджений в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оєнний</w:t>
      </w:r>
      <w:r w:rsidR="00B934F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стан в Україні</w:t>
      </w:r>
      <w:r w:rsidR="00F7414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r w:rsidR="00F7414F" w:rsidRPr="00F7414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загрозливу безпекову ситуацію</w:t>
      </w:r>
      <w:r w:rsidR="008E16CF" w:rsidRPr="008E16CF">
        <w:rPr>
          <w:lang w:val="uk-UA"/>
        </w:rPr>
        <w:t xml:space="preserve"> </w:t>
      </w:r>
      <w:r w:rsidR="008E16CF" w:rsidRPr="008E16C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 території Сумської міської громади</w:t>
      </w:r>
      <w:r w:rsidR="00353A26" w:rsidRPr="002A7D5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353A26" w:rsidRDefault="00353A26" w:rsidP="00AB78F2">
      <w:pPr>
        <w:spacing w:before="200" w:after="200" w:line="240" w:lineRule="auto"/>
        <w:ind w:right="-60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301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Оцінка ефективності</w:t>
      </w:r>
      <w:r w:rsidRPr="00B301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виконання програми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</w:p>
    <w:p w:rsidR="00AB78F2" w:rsidRPr="00AB78F2" w:rsidRDefault="00353A26" w:rsidP="00B61C8A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="00AB78F2" w:rsidRPr="00AB78F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 2025 році виконання Програми здійснювалося в умовах дії воєнного стану, що вплинуло на пріоритети фінансування та реалізацію окремих заходів.</w:t>
      </w:r>
    </w:p>
    <w:p w:rsidR="00AB78F2" w:rsidRPr="00AB78F2" w:rsidRDefault="00AB78F2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AB78F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КП СМР «Електроавтотранс» забезпечило стабільне та безперебійне функціонування міського пасажирського транспорту. Підприємством обслуговувались автобусні та тролейбусні маршрути, а обсяги перевезень склали 13 885,7 тис. осіб із позитивною динамікою зростання.</w:t>
      </w:r>
    </w:p>
    <w:p w:rsidR="00AB78F2" w:rsidRPr="00AB78F2" w:rsidRDefault="00AB78F2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AB78F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Фінансова підтримка з бюджету Сумської міської територіальної громади дозволила своєчасно компенсувати різницю в тарифах та забезпечити належний рівень надання послуг.</w:t>
      </w:r>
    </w:p>
    <w:p w:rsidR="00AB78F2" w:rsidRPr="00AB78F2" w:rsidRDefault="00AB78F2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AB78F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Водночас реалізація окремих заходів Програми, насамперед у частині розвитку та модернізації інфраструктури, здійснювалася поступово з урахуванням наявних ресурсів.</w:t>
      </w:r>
    </w:p>
    <w:p w:rsidR="00353A26" w:rsidRDefault="00AB78F2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AB78F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Загалом Програму у 2025 році виконано на належному рівні, із забезпеченням її основної мети — стабільного надання послуг з перевезення пасажирів.</w:t>
      </w:r>
    </w:p>
    <w:p w:rsidR="00B61C8A" w:rsidRDefault="00353A26" w:rsidP="002654C7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Обґрунтування причин невиконання (низького рівня виконання)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FD7CA4" w:rsidRDefault="00FD7CA4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54C7" w:rsidRPr="002654C7" w:rsidRDefault="002654C7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Частина заходів Програми у 2025 році була реалізована не в повному обсязі або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перенесена на наступні періоди. 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новними факторами впливу стали: 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обмеженість фінансових ресурсів, що зумовило пріоритетне спрямування коштів на забезпечення пот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очної діяльності підприємства; 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>дія воєнного стану, яка впливає на можливості планування та реаліза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ції інфраструктурних проєктів; 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безпекова ситуація, що ускл</w:t>
      </w:r>
      <w:r w:rsid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аднює виконання окремих робіт</w:t>
      </w:r>
      <w:r w:rsidRPr="002654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353A26" w:rsidRPr="001224A8" w:rsidRDefault="002654C7" w:rsidP="00B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2654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Водночас окремі заходи не потребували реалізації у звітному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періоді у зв’язку з оновленням рухомого складу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автобусів </w:t>
      </w:r>
      <w:r w:rsid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за рахунок гуманітарно-технічної</w:t>
      </w:r>
      <w:r w:rsidRPr="002654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допомоги.</w:t>
      </w:r>
    </w:p>
    <w:p w:rsidR="00353A26" w:rsidRDefault="00353A26" w:rsidP="00353A26">
      <w:pPr>
        <w:spacing w:before="200"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Пропозиції щодо забезпечення подальшого виконання</w:t>
      </w:r>
    </w:p>
    <w:p w:rsidR="00353A26" w:rsidRDefault="00353A26" w:rsidP="00353A26">
      <w:pPr>
        <w:spacing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1C8A" w:rsidRPr="00B61C8A" w:rsidRDefault="00B61C8A" w:rsidP="00B61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подальшої ефективної реалізації Програми доцільно:</w:t>
      </w:r>
    </w:p>
    <w:p w:rsidR="00B61C8A" w:rsidRPr="00B61C8A" w:rsidRDefault="00B61C8A" w:rsidP="00B61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•</w:t>
      </w: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забезпечити стабільне фінансування заходів за рахунок бюджету Сумської міської територіальної громади, власних коштів підприємства та інших джерел, не заборонених законодавством; </w:t>
      </w:r>
    </w:p>
    <w:p w:rsidR="00B61C8A" w:rsidRPr="00B61C8A" w:rsidRDefault="00B61C8A" w:rsidP="00B61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•</w:t>
      </w: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продовжити поетапну реалізацію заходів, спрямованих на розвиток та модернізацію інфраструктури; </w:t>
      </w:r>
    </w:p>
    <w:p w:rsidR="00B61C8A" w:rsidRPr="00B61C8A" w:rsidRDefault="00B61C8A" w:rsidP="00B61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•</w:t>
      </w: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зосередити увагу на відновленні та підтримці об’єктів, що мають ключове значення для стабільної роботи електротранспорту; </w:t>
      </w:r>
    </w:p>
    <w:p w:rsidR="00B61C8A" w:rsidRPr="00B61C8A" w:rsidRDefault="00B61C8A" w:rsidP="00B61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•</w:t>
      </w: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опрацьовувати можливості залучення додаткових ресурсів, зокрема міжнародної технічної допомоги та грантових програм. </w:t>
      </w:r>
    </w:p>
    <w:p w:rsidR="00353A26" w:rsidRDefault="00B61C8A" w:rsidP="00B61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61C8A">
        <w:rPr>
          <w:rFonts w:ascii="Times New Roman" w:eastAsia="Times New Roman" w:hAnsi="Times New Roman" w:cs="Times New Roman"/>
          <w:sz w:val="28"/>
          <w:szCs w:val="28"/>
          <w:lang w:val="uk-UA"/>
        </w:rPr>
        <w:t>При цьому важливо враховувати вплив зовнішніх факторів, зокрема воєнного стану та безпекової ситуації, які об’єктивно визначають темпи реалізації окремих заходів.</w:t>
      </w:r>
      <w:r w:rsidR="00353A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6B4BBB" w:rsidRDefault="00B61C8A" w:rsidP="00353A26">
      <w:pPr>
        <w:spacing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  <w:lang w:val="uk-UA"/>
        </w:rPr>
        <w:t>Загалом у</w:t>
      </w:r>
      <w:r w:rsidRPr="00B61C8A">
        <w:rPr>
          <w:rFonts w:ascii="Times New Roman" w:eastAsia="Times New Roman" w:hAnsi="Times New Roman" w:cs="Times New Roman"/>
          <w:color w:val="auto"/>
          <w:sz w:val="28"/>
          <w:szCs w:val="24"/>
          <w:lang w:val="uk-UA"/>
        </w:rPr>
        <w:t xml:space="preserve"> 2025 році забезпечено стабільну роботу міського пасажирського транспорту та виконання основних завдань Програми. Подальша реалізація заходів розвитку потребує поступового нарощування фінансових можливостей і збереження системного підходу до модернізації галузі.</w:t>
      </w:r>
    </w:p>
    <w:p w:rsidR="00353A26" w:rsidRDefault="00353A26" w:rsidP="00353A26">
      <w:pPr>
        <w:spacing w:line="240" w:lineRule="auto"/>
        <w:rPr>
          <w:lang w:val="uk-UA"/>
        </w:rPr>
      </w:pPr>
    </w:p>
    <w:p w:rsidR="00E47F29" w:rsidRDefault="00E47F29" w:rsidP="00353A26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64C4" w:rsidRDefault="009064C4" w:rsidP="009064C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управління   транспорту, </w:t>
      </w:r>
    </w:p>
    <w:p w:rsidR="009152C2" w:rsidRDefault="009064C4" w:rsidP="009064C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 w:rsidR="009152C2">
        <w:rPr>
          <w:rFonts w:ascii="Times New Roman" w:hAnsi="Times New Roman" w:cs="Times New Roman"/>
          <w:sz w:val="28"/>
          <w:szCs w:val="28"/>
          <w:lang w:val="uk-UA"/>
        </w:rPr>
        <w:t>ої інфраструктури та зв’язку</w:t>
      </w:r>
    </w:p>
    <w:p w:rsidR="009064C4" w:rsidRDefault="009152C2" w:rsidP="009064C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                                       </w:t>
      </w:r>
      <w:r w:rsidR="00DE66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064C4">
        <w:rPr>
          <w:rFonts w:ascii="Times New Roman" w:hAnsi="Times New Roman" w:cs="Times New Roman"/>
          <w:sz w:val="28"/>
          <w:szCs w:val="28"/>
          <w:lang w:val="uk-UA"/>
        </w:rPr>
        <w:t xml:space="preserve">     Альона НОСОВА</w:t>
      </w:r>
    </w:p>
    <w:p w:rsidR="00353A26" w:rsidRPr="009554B9" w:rsidRDefault="00353A26" w:rsidP="00353A26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7F29" w:rsidRDefault="00E47F29" w:rsidP="00353A26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400" w:rsidRDefault="00DB7432"/>
    <w:p w:rsidR="00AB78F2" w:rsidRPr="00AB78F2" w:rsidRDefault="00AB78F2" w:rsidP="00AB78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AB78F2" w:rsidRDefault="00AB78F2"/>
    <w:sectPr w:rsidR="00AB78F2" w:rsidSect="00923E04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0BE0"/>
    <w:multiLevelType w:val="multilevel"/>
    <w:tmpl w:val="90E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D57D0"/>
    <w:multiLevelType w:val="hybridMultilevel"/>
    <w:tmpl w:val="9DD68CFA"/>
    <w:lvl w:ilvl="0" w:tplc="8F88DE0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96258E1"/>
    <w:multiLevelType w:val="multilevel"/>
    <w:tmpl w:val="F90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26"/>
    <w:rsid w:val="00032DBE"/>
    <w:rsid w:val="00034341"/>
    <w:rsid w:val="00045544"/>
    <w:rsid w:val="00053067"/>
    <w:rsid w:val="00074097"/>
    <w:rsid w:val="000751E1"/>
    <w:rsid w:val="000762A4"/>
    <w:rsid w:val="00142BC2"/>
    <w:rsid w:val="001923E9"/>
    <w:rsid w:val="001A4DEA"/>
    <w:rsid w:val="001B33AB"/>
    <w:rsid w:val="001B4502"/>
    <w:rsid w:val="001E4EAD"/>
    <w:rsid w:val="00221F66"/>
    <w:rsid w:val="002654C7"/>
    <w:rsid w:val="00280C34"/>
    <w:rsid w:val="00290006"/>
    <w:rsid w:val="002C0998"/>
    <w:rsid w:val="002C42DF"/>
    <w:rsid w:val="002F55F7"/>
    <w:rsid w:val="00336DD5"/>
    <w:rsid w:val="00353A26"/>
    <w:rsid w:val="0035705B"/>
    <w:rsid w:val="003B48C9"/>
    <w:rsid w:val="003B4ECE"/>
    <w:rsid w:val="003D6DD6"/>
    <w:rsid w:val="003E559B"/>
    <w:rsid w:val="004048B7"/>
    <w:rsid w:val="004120DD"/>
    <w:rsid w:val="004448CC"/>
    <w:rsid w:val="0047076E"/>
    <w:rsid w:val="00474A92"/>
    <w:rsid w:val="00495E2A"/>
    <w:rsid w:val="005C67B8"/>
    <w:rsid w:val="005E2C45"/>
    <w:rsid w:val="00625E5A"/>
    <w:rsid w:val="006439C8"/>
    <w:rsid w:val="00666550"/>
    <w:rsid w:val="00670A66"/>
    <w:rsid w:val="006B4BBB"/>
    <w:rsid w:val="006C0D67"/>
    <w:rsid w:val="00763971"/>
    <w:rsid w:val="00777FC3"/>
    <w:rsid w:val="007A0A40"/>
    <w:rsid w:val="007E5141"/>
    <w:rsid w:val="007E5EE9"/>
    <w:rsid w:val="00862921"/>
    <w:rsid w:val="00865F4B"/>
    <w:rsid w:val="00875C24"/>
    <w:rsid w:val="008D44BE"/>
    <w:rsid w:val="008E16CF"/>
    <w:rsid w:val="009064C4"/>
    <w:rsid w:val="009152C2"/>
    <w:rsid w:val="00923E04"/>
    <w:rsid w:val="009274E6"/>
    <w:rsid w:val="009B49A6"/>
    <w:rsid w:val="00A22233"/>
    <w:rsid w:val="00A726AE"/>
    <w:rsid w:val="00AB78F2"/>
    <w:rsid w:val="00AE5CE9"/>
    <w:rsid w:val="00AF46E4"/>
    <w:rsid w:val="00B07E24"/>
    <w:rsid w:val="00B61C8A"/>
    <w:rsid w:val="00B74BB2"/>
    <w:rsid w:val="00B82238"/>
    <w:rsid w:val="00B934F5"/>
    <w:rsid w:val="00BC015C"/>
    <w:rsid w:val="00BF1FB8"/>
    <w:rsid w:val="00C220FA"/>
    <w:rsid w:val="00C402E2"/>
    <w:rsid w:val="00D21998"/>
    <w:rsid w:val="00D45485"/>
    <w:rsid w:val="00D60BFB"/>
    <w:rsid w:val="00D73E14"/>
    <w:rsid w:val="00DB7432"/>
    <w:rsid w:val="00DE66F6"/>
    <w:rsid w:val="00E00438"/>
    <w:rsid w:val="00E47F29"/>
    <w:rsid w:val="00E50C05"/>
    <w:rsid w:val="00EE7CFA"/>
    <w:rsid w:val="00F0189A"/>
    <w:rsid w:val="00F57EDD"/>
    <w:rsid w:val="00F7414F"/>
    <w:rsid w:val="00F8451A"/>
    <w:rsid w:val="00FA4B99"/>
    <w:rsid w:val="00FB230C"/>
    <w:rsid w:val="00FB6E15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1FF9"/>
  <w15:chartTrackingRefBased/>
  <w15:docId w15:val="{18BA6044-EEBB-4303-A38F-D25FE8B3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26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3">
    <w:name w:val="heading 3"/>
    <w:basedOn w:val="a"/>
    <w:link w:val="30"/>
    <w:uiPriority w:val="9"/>
    <w:qFormat/>
    <w:rsid w:val="00AB7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53A26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a3">
    <w:name w:val="List Paragraph"/>
    <w:basedOn w:val="a"/>
    <w:uiPriority w:val="34"/>
    <w:qFormat/>
    <w:rsid w:val="00AF46E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B78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AB78F2"/>
    <w:rPr>
      <w:b/>
      <w:bCs/>
    </w:rPr>
  </w:style>
  <w:style w:type="paragraph" w:styleId="a5">
    <w:name w:val="Normal (Web)"/>
    <w:basedOn w:val="a"/>
    <w:uiPriority w:val="99"/>
    <w:semiHidden/>
    <w:unhideWhenUsed/>
    <w:rsid w:val="00AB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A4B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B99"/>
    <w:rPr>
      <w:rFonts w:ascii="Segoe UI" w:eastAsia="Arial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506B-5EE5-46EA-B6E6-10239A18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Титаренко Валерія Валеріївна</dc:creator>
  <cp:keywords/>
  <dc:description/>
  <cp:lastModifiedBy>Титаренко Валерія Валеріївна</cp:lastModifiedBy>
  <cp:revision>14</cp:revision>
  <cp:lastPrinted>2026-05-26T08:53:00Z</cp:lastPrinted>
  <dcterms:created xsi:type="dcterms:W3CDTF">2026-04-28T12:55:00Z</dcterms:created>
  <dcterms:modified xsi:type="dcterms:W3CDTF">2026-05-29T07:26:00Z</dcterms:modified>
</cp:coreProperties>
</file>