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2" w:rsidRDefault="003922D2" w:rsidP="003922D2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40080"/>
            <wp:effectExtent l="0" t="0" r="0" b="762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D2" w:rsidRPr="00D60C3E" w:rsidRDefault="003922D2" w:rsidP="003922D2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3922D2" w:rsidRPr="00CB5CF0" w:rsidRDefault="003922D2" w:rsidP="003922D2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3922D2" w:rsidRPr="00CB5CF0" w:rsidRDefault="003922D2" w:rsidP="003922D2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3922D2" w:rsidRPr="00565EBF" w:rsidRDefault="003922D2" w:rsidP="003922D2">
      <w:pPr>
        <w:jc w:val="center"/>
        <w:rPr>
          <w:sz w:val="16"/>
          <w:szCs w:val="16"/>
          <w:lang w:val="uk-UA"/>
        </w:rPr>
      </w:pPr>
    </w:p>
    <w:p w:rsidR="003922D2" w:rsidRDefault="003922D2" w:rsidP="003922D2">
      <w:pPr>
        <w:rPr>
          <w:lang w:val="uk-UA"/>
        </w:rPr>
      </w:pPr>
      <w:r>
        <w:rPr>
          <w:lang w:val="uk-UA"/>
        </w:rPr>
        <w:t xml:space="preserve">від </w:t>
      </w:r>
      <w:r w:rsidRPr="003922D2">
        <w:t xml:space="preserve">    </w:t>
      </w:r>
      <w:r w:rsidR="0005445D">
        <w:rPr>
          <w:lang w:val="uk-UA"/>
        </w:rPr>
        <w:t>31.07.2019</w:t>
      </w:r>
      <w:r w:rsidRPr="003922D2">
        <w:t xml:space="preserve">  </w:t>
      </w:r>
      <w:r>
        <w:rPr>
          <w:lang w:val="uk-UA"/>
        </w:rPr>
        <w:t xml:space="preserve">   № </w:t>
      </w:r>
      <w:r w:rsidR="0005445D">
        <w:rPr>
          <w:lang w:val="uk-UA"/>
        </w:rPr>
        <w:t>263-Р</w:t>
      </w:r>
    </w:p>
    <w:p w:rsidR="003922D2" w:rsidRDefault="003922D2" w:rsidP="003922D2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3922D2" w:rsidRPr="0005445D" w:rsidTr="00AE69B3">
        <w:tc>
          <w:tcPr>
            <w:tcW w:w="4068" w:type="dxa"/>
          </w:tcPr>
          <w:p w:rsidR="003922D2" w:rsidRPr="00D056EC" w:rsidRDefault="003922D2" w:rsidP="00AE69B3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56EC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створення робочої групи з питань встановлення доцільності створення та функціонування при відділі охорони здоров’я Сумської міської ради</w:t>
            </w:r>
            <w:r w:rsidRPr="00C707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органу централізованих закупівель по галузі охорони здоров’я </w:t>
            </w:r>
            <w:r>
              <w:rPr>
                <w:b/>
                <w:sz w:val="28"/>
                <w:szCs w:val="28"/>
                <w:lang w:val="uk-UA"/>
              </w:rPr>
              <w:br/>
              <w:t>м. Суми</w:t>
            </w:r>
          </w:p>
        </w:tc>
      </w:tr>
    </w:tbl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Pr="00A473A7" w:rsidRDefault="003922D2" w:rsidP="003922D2">
      <w:pPr>
        <w:rPr>
          <w:sz w:val="28"/>
          <w:szCs w:val="28"/>
          <w:lang w:val="uk-UA"/>
        </w:rPr>
      </w:pPr>
    </w:p>
    <w:p w:rsidR="003922D2" w:rsidRPr="00C707F0" w:rsidRDefault="003922D2" w:rsidP="003922D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визначення доцільності створення, порядку функціонування 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>центральн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 xml:space="preserve"> закупівельн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 xml:space="preserve"> орган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 xml:space="preserve"> при відділі охорони здоров’я Сумської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>здійснення на професійному рівні публічних закупівель товарів медичного та немедичного спрямування для підпорядкованих закладів охорони здоров’</w:t>
      </w:r>
      <w:r w:rsidRPr="0010699C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Pr="0010699C">
        <w:rPr>
          <w:sz w:val="28"/>
          <w:szCs w:val="28"/>
          <w:lang w:val="uk-UA"/>
        </w:rPr>
        <w:t>:</w:t>
      </w:r>
    </w:p>
    <w:p w:rsidR="003922D2" w:rsidRDefault="003922D2" w:rsidP="003922D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922D2" w:rsidRPr="00040A00" w:rsidRDefault="003922D2" w:rsidP="003922D2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9E48C3">
        <w:rPr>
          <w:rFonts w:eastAsia="SimSun"/>
          <w:sz w:val="28"/>
          <w:szCs w:val="28"/>
          <w:lang w:val="uk-UA"/>
        </w:rPr>
        <w:t xml:space="preserve">Створити робочу групу з питань </w:t>
      </w:r>
      <w:r>
        <w:rPr>
          <w:rFonts w:eastAsia="SimSun"/>
          <w:sz w:val="28"/>
          <w:szCs w:val="28"/>
          <w:lang w:val="uk-UA"/>
        </w:rPr>
        <w:t xml:space="preserve">встановлення </w:t>
      </w:r>
      <w:r w:rsidRPr="009E48C3">
        <w:rPr>
          <w:sz w:val="28"/>
          <w:szCs w:val="28"/>
          <w:lang w:val="uk-UA"/>
        </w:rPr>
        <w:t>доцільності створення та функціонування при відділі охорони здоров’я Сумської міської ради органу централізованих закупівель по галузі охорони здоров’я м. Суми</w:t>
      </w:r>
      <w:r>
        <w:rPr>
          <w:sz w:val="28"/>
          <w:szCs w:val="28"/>
          <w:lang w:val="uk-UA"/>
        </w:rPr>
        <w:t xml:space="preserve"> у складі згідно з додатком.</w:t>
      </w:r>
    </w:p>
    <w:p w:rsidR="003922D2" w:rsidRPr="007C7D8D" w:rsidRDefault="003922D2" w:rsidP="003922D2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Робочій групі до 01.09.2019 визначити доцільність створення,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порядок функціонування 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>центральн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 xml:space="preserve"> закупівельн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 xml:space="preserve"> орган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D1D99">
        <w:rPr>
          <w:color w:val="000000"/>
          <w:sz w:val="28"/>
          <w:szCs w:val="28"/>
          <w:shd w:val="clear" w:color="auto" w:fill="FFFFFF"/>
          <w:lang w:val="uk-UA"/>
        </w:rPr>
        <w:t xml:space="preserve"> при відділі охорони здоров’я Сумської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22D2" w:rsidRPr="00040A00" w:rsidRDefault="003922D2" w:rsidP="003922D2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Організаційне забезпечення діяльності робочої групи покласти на її секретаря.</w:t>
      </w:r>
    </w:p>
    <w:p w:rsidR="003922D2" w:rsidRPr="00D51892" w:rsidRDefault="003922D2" w:rsidP="003922D2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Установити, що у разі персональних змін у складі робочої групи з питань реалізації проекту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3922D2" w:rsidRPr="00E23BB5" w:rsidRDefault="003922D2" w:rsidP="003922D2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даного розпорядження покласти на заступника міського голови з питань діяльності виконавчих органів ради Галицького М.О.</w:t>
      </w: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3922D2" w:rsidRPr="00A27501" w:rsidRDefault="003922D2" w:rsidP="003922D2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3922D2" w:rsidRDefault="003922D2" w:rsidP="003922D2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922D2" w:rsidRDefault="003922D2" w:rsidP="003922D2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Чумаченко</w:t>
      </w:r>
      <w:r>
        <w:rPr>
          <w:lang w:val="uk-UA"/>
        </w:rPr>
        <w:tab/>
      </w:r>
    </w:p>
    <w:p w:rsidR="003922D2" w:rsidRPr="003922D2" w:rsidRDefault="003922D2" w:rsidP="003922D2">
      <w:pPr>
        <w:tabs>
          <w:tab w:val="left" w:pos="720"/>
        </w:tabs>
      </w:pPr>
      <w:r>
        <w:rPr>
          <w:lang w:val="uk-UA"/>
        </w:rPr>
        <w:t>Розіслати: до справи, членам робочої групи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В.о. н</w:t>
            </w:r>
            <w:r w:rsidRPr="004C4A15">
              <w:rPr>
                <w:sz w:val="28"/>
                <w:szCs w:val="28"/>
              </w:rPr>
              <w:t>ачальник</w:t>
            </w:r>
            <w:r w:rsidRPr="004C4A1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C4A15">
              <w:rPr>
                <w:sz w:val="28"/>
                <w:szCs w:val="28"/>
              </w:rPr>
              <w:t>відділу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</w:rPr>
              <w:t>охорони здоров’я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  <w:r w:rsidRPr="004C4A15">
              <w:rPr>
                <w:sz w:val="28"/>
                <w:lang w:val="uk-UA"/>
              </w:rPr>
              <w:t>О.Ю. Чумаченко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  <w:r w:rsidRPr="004C4A15">
              <w:rPr>
                <w:sz w:val="28"/>
                <w:szCs w:val="28"/>
              </w:rPr>
              <w:t>М.О. Галицький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E96CA6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E96CA6" w:rsidRDefault="00E96CA6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E96CA6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3922D2" w:rsidRPr="00486F30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0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  <w:r w:rsidRPr="004C4A15">
              <w:rPr>
                <w:sz w:val="28"/>
                <w:lang w:val="uk-UA"/>
              </w:rPr>
              <w:t>На</w:t>
            </w:r>
            <w:r w:rsidRPr="004C4A15">
              <w:rPr>
                <w:sz w:val="28"/>
              </w:rPr>
              <w:t xml:space="preserve">чальник  </w:t>
            </w:r>
            <w:r w:rsidRPr="004C4A15">
              <w:rPr>
                <w:sz w:val="28"/>
                <w:szCs w:val="28"/>
              </w:rPr>
              <w:t xml:space="preserve">правового </w:t>
            </w:r>
            <w:r w:rsidRPr="004C4A15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0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C4A15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lang w:val="en-US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lang w:val="en-US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lang w:val="en-US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Default="003922D2" w:rsidP="00AE69B3">
            <w:pPr>
              <w:jc w:val="both"/>
            </w:pPr>
            <w:r w:rsidRPr="004C4A15">
              <w:rPr>
                <w:sz w:val="28"/>
                <w:szCs w:val="28"/>
                <w:lang w:val="uk-UA"/>
              </w:rPr>
              <w:t>Заступник міського голови керуючий справами виконавчого комітету</w:t>
            </w: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922D2" w:rsidRDefault="003922D2" w:rsidP="003922D2">
      <w:pPr>
        <w:tabs>
          <w:tab w:val="left" w:pos="72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840ACE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921DD6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 xml:space="preserve">від   </w:t>
      </w:r>
      <w:r w:rsidR="0005445D">
        <w:rPr>
          <w:lang w:val="uk-UA"/>
        </w:rPr>
        <w:t>31.07.2019</w:t>
      </w:r>
      <w:r w:rsidRPr="0005445D">
        <w:rPr>
          <w:lang w:val="uk-UA"/>
        </w:rPr>
        <w:t xml:space="preserve"> </w:t>
      </w:r>
      <w:r>
        <w:rPr>
          <w:lang w:val="uk-UA"/>
        </w:rPr>
        <w:t xml:space="preserve">    №</w:t>
      </w:r>
      <w:r w:rsidR="0005445D">
        <w:rPr>
          <w:lang w:val="uk-UA"/>
        </w:rPr>
        <w:t xml:space="preserve"> 263-Р</w:t>
      </w:r>
      <w:bookmarkStart w:id="0" w:name="_GoBack"/>
      <w:bookmarkEnd w:id="0"/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793E13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93E13">
        <w:rPr>
          <w:sz w:val="28"/>
          <w:szCs w:val="28"/>
          <w:lang w:val="uk-UA"/>
        </w:rPr>
        <w:t xml:space="preserve">обочої групи з питань </w:t>
      </w:r>
      <w:r>
        <w:rPr>
          <w:sz w:val="28"/>
          <w:szCs w:val="28"/>
          <w:lang w:val="uk-UA"/>
        </w:rPr>
        <w:t xml:space="preserve">встановлення </w:t>
      </w:r>
      <w:r w:rsidRPr="00793E13">
        <w:rPr>
          <w:sz w:val="28"/>
          <w:szCs w:val="28"/>
          <w:lang w:val="uk-UA"/>
        </w:rPr>
        <w:t>доцільності створення та функціонування при відділі охорони здоров’я Сумської міської ради органу централізованих закупівель по галузі охорони здоров’я м. Суми</w:t>
      </w: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604"/>
        <w:gridCol w:w="5776"/>
      </w:tblGrid>
      <w:tr w:rsidR="003922D2" w:rsidRPr="004C4A15" w:rsidTr="00AE69B3">
        <w:tc>
          <w:tcPr>
            <w:tcW w:w="3190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Галицький 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4C4A15">
              <w:rPr>
                <w:sz w:val="28"/>
                <w:szCs w:val="28"/>
                <w:lang w:val="uk-UA"/>
              </w:rPr>
              <w:br/>
              <w:t>голова робочої групи;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AE69B3">
        <w:tc>
          <w:tcPr>
            <w:tcW w:w="3190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Чумаченко</w:t>
            </w:r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br/>
              <w:t>Олена Юріївна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в.о. начальника відділу охорони здоров’я Сумської міської ради, заступник голови робочої групи;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AE69B3">
        <w:tc>
          <w:tcPr>
            <w:tcW w:w="3190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Мамай 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Алла Сергіївна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провідний юрисконсульт інформаційно-аналітичного центру медичної статистики відділу охорони здоров’я Сумської </w:t>
            </w:r>
            <w:r w:rsidRPr="004C4A15">
              <w:rPr>
                <w:sz w:val="28"/>
                <w:szCs w:val="28"/>
                <w:lang w:val="uk-UA"/>
              </w:rPr>
              <w:br/>
              <w:t>міської ради, секретар робочої групи;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AE69B3">
        <w:tc>
          <w:tcPr>
            <w:tcW w:w="3190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4A15">
              <w:rPr>
                <w:b/>
                <w:sz w:val="28"/>
                <w:szCs w:val="28"/>
                <w:lang w:val="uk-UA"/>
              </w:rPr>
              <w:t>Трепалін</w:t>
            </w:r>
            <w:proofErr w:type="spellEnd"/>
            <w:r w:rsidRPr="004C4A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b/>
                <w:sz w:val="28"/>
                <w:szCs w:val="28"/>
                <w:lang w:val="uk-UA"/>
              </w:rPr>
              <w:br/>
            </w:r>
            <w:r w:rsidRPr="004C4A15">
              <w:rPr>
                <w:sz w:val="28"/>
                <w:szCs w:val="28"/>
                <w:lang w:val="uk-UA"/>
              </w:rPr>
              <w:t>Роман Олександрович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начальник відділу з конкурсних торгів, </w:t>
            </w:r>
            <w:r w:rsidRPr="004C4A15">
              <w:rPr>
                <w:sz w:val="28"/>
                <w:szCs w:val="28"/>
                <w:lang w:val="uk-UA"/>
              </w:rPr>
              <w:br/>
              <w:t>член робочої групи;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AE69B3">
        <w:tc>
          <w:tcPr>
            <w:tcW w:w="3190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C4A15">
              <w:rPr>
                <w:b/>
                <w:sz w:val="28"/>
                <w:szCs w:val="28"/>
                <w:lang w:val="uk-UA"/>
              </w:rPr>
              <w:t>Чайченко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br/>
              <w:t>Олег Володимирович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начальник правового управління Сумської міської ради, член робочої групи;</w:t>
            </w:r>
          </w:p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05445D" w:rsidTr="00AE69B3">
        <w:tc>
          <w:tcPr>
            <w:tcW w:w="3190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Хекало </w:t>
            </w:r>
            <w:r w:rsidRPr="004C4A15">
              <w:rPr>
                <w:sz w:val="28"/>
                <w:szCs w:val="28"/>
                <w:lang w:val="uk-UA"/>
              </w:rPr>
              <w:br/>
              <w:t>Світлана Анатоліївна</w:t>
            </w:r>
          </w:p>
        </w:tc>
        <w:tc>
          <w:tcPr>
            <w:tcW w:w="604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головний бухгалтер централізованої бухгалтерії відділу охорони здоров’я Сумської міської ради,член робочої групи;</w:t>
            </w:r>
          </w:p>
        </w:tc>
      </w:tr>
    </w:tbl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Pr="00793E13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охорони</w:t>
      </w:r>
      <w:r>
        <w:rPr>
          <w:sz w:val="28"/>
          <w:szCs w:val="28"/>
          <w:lang w:val="uk-UA"/>
        </w:rPr>
        <w:br/>
        <w:t>здоров’я Сумської міської ради                                                   О.Ю. Чумаченко</w:t>
      </w:r>
    </w:p>
    <w:p w:rsidR="00BE0B2F" w:rsidRPr="003922D2" w:rsidRDefault="00BE0B2F">
      <w:pPr>
        <w:rPr>
          <w:lang w:val="uk-UA"/>
        </w:rPr>
      </w:pPr>
    </w:p>
    <w:sectPr w:rsidR="00BE0B2F" w:rsidRPr="003922D2" w:rsidSect="008B7F6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hybridMultilevel"/>
    <w:tmpl w:val="7DF6E40C"/>
    <w:lvl w:ilvl="0" w:tplc="2E9463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2"/>
    <w:rsid w:val="0005445D"/>
    <w:rsid w:val="003922D2"/>
    <w:rsid w:val="00486F30"/>
    <w:rsid w:val="00821312"/>
    <w:rsid w:val="00BE0B2F"/>
    <w:rsid w:val="00E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9E6"/>
  <w15:docId w15:val="{0A6A103D-3539-4E85-8274-96E60B3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22D2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22D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22D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3922D2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922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Євгенія Олександрівна</cp:lastModifiedBy>
  <cp:revision>3</cp:revision>
  <dcterms:created xsi:type="dcterms:W3CDTF">2019-07-17T08:42:00Z</dcterms:created>
  <dcterms:modified xsi:type="dcterms:W3CDTF">2019-07-31T07:04:00Z</dcterms:modified>
</cp:coreProperties>
</file>