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85" w:rsidRDefault="00A92BA9">
      <w:pPr>
        <w:pStyle w:val="10"/>
        <w:widowControl w:val="0"/>
        <w:ind w:hanging="2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2847112</wp:posOffset>
            </wp:positionH>
            <wp:positionV relativeFrom="paragraph">
              <wp:posOffset>47625</wp:posOffset>
            </wp:positionV>
            <wp:extent cx="428625" cy="6096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497B85">
        <w:tc>
          <w:tcPr>
            <w:tcW w:w="3936" w:type="dxa"/>
            <w:shd w:val="clear" w:color="auto" w:fill="auto"/>
          </w:tcPr>
          <w:p w:rsidR="00497B85" w:rsidRDefault="00497B85">
            <w:pPr>
              <w:pStyle w:val="10"/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497B85" w:rsidRPr="00A92BA9" w:rsidRDefault="00497B85" w:rsidP="00A92BA9">
            <w:pPr>
              <w:pStyle w:val="10"/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497B85" w:rsidRDefault="00497B85">
            <w:pPr>
              <w:pStyle w:val="10"/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B85">
        <w:tc>
          <w:tcPr>
            <w:tcW w:w="3936" w:type="dxa"/>
            <w:shd w:val="clear" w:color="auto" w:fill="auto"/>
          </w:tcPr>
          <w:p w:rsidR="00497B85" w:rsidRDefault="00497B85">
            <w:pPr>
              <w:pStyle w:val="10"/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97B85" w:rsidRDefault="00497B85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497B85" w:rsidRDefault="00497B85">
            <w:pPr>
              <w:pStyle w:val="10"/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7B85" w:rsidRDefault="00A92BA9" w:rsidP="00A92BA9">
      <w:pPr>
        <w:pStyle w:val="3"/>
        <w:keepLines w:val="0"/>
        <w:spacing w:before="0"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РОЗПОРЯДЖЕННЯ</w:t>
      </w:r>
    </w:p>
    <w:p w:rsidR="00497B85" w:rsidRDefault="00A92BA9">
      <w:pPr>
        <w:pStyle w:val="10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МІСЬКОГО ГОЛОВИ</w:t>
      </w:r>
    </w:p>
    <w:p w:rsidR="00497B85" w:rsidRDefault="00A92BA9">
      <w:pPr>
        <w:pStyle w:val="10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497B85" w:rsidRDefault="00497B85">
      <w:pPr>
        <w:pStyle w:val="10"/>
        <w:spacing w:line="240" w:lineRule="auto"/>
        <w:ind w:lef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45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5"/>
      </w:tblGrid>
      <w:tr w:rsidR="00497B85">
        <w:tc>
          <w:tcPr>
            <w:tcW w:w="4515" w:type="dxa"/>
          </w:tcPr>
          <w:p w:rsidR="00497B85" w:rsidRPr="005C53A8" w:rsidRDefault="00A92BA9" w:rsidP="005C53A8">
            <w:pPr>
              <w:pStyle w:val="10"/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C5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09.04.2020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5C53A8" w:rsidRPr="005C53A8">
              <w:rPr>
                <w:rFonts w:ascii="Times New Roman" w:eastAsia="Times New Roman" w:hAnsi="Times New Roman" w:cs="Times New Roman"/>
                <w:sz w:val="28"/>
                <w:szCs w:val="28"/>
              </w:rPr>
              <w:t>106-</w:t>
            </w:r>
            <w:r w:rsidR="005C5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</w:tr>
      <w:tr w:rsidR="00497B85">
        <w:tc>
          <w:tcPr>
            <w:tcW w:w="4515" w:type="dxa"/>
          </w:tcPr>
          <w:p w:rsidR="00497B85" w:rsidRDefault="00A92BA9">
            <w:pPr>
              <w:pStyle w:val="10"/>
              <w:spacing w:line="240" w:lineRule="auto"/>
              <w:ind w:left="1" w:right="23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використанню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Google</w:t>
            </w:r>
            <w:proofErr w:type="spellEnd"/>
          </w:p>
        </w:tc>
      </w:tr>
    </w:tbl>
    <w:p w:rsidR="00497B85" w:rsidRDefault="00497B85">
      <w:pPr>
        <w:pStyle w:val="10"/>
        <w:ind w:left="-2" w:right="14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ind w:left="-2" w:right="14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цифрової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грамотності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,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ефективної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дистанційної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час карантину,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 постанови</w:t>
      </w:r>
      <w:r>
        <w:rPr>
          <w:rFonts w:ascii="Times New Roman" w:eastAsia="Times New Roman" w:hAnsi="Times New Roman" w:cs="Times New Roman"/>
          <w:color w:val="252B33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№ 106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06.02.2019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службовців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адміністрацій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заступників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заступників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депутатів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97B85" w:rsidRDefault="00497B85">
      <w:pPr>
        <w:pStyle w:val="10"/>
      </w:pPr>
    </w:p>
    <w:p w:rsidR="00497B85" w:rsidRDefault="00A92BA9">
      <w:pPr>
        <w:pStyle w:val="10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заступникам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пройти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грамотність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1.0.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https://osvita.diia.gov.ua/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сервісів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діяльності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базового курсу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грамотності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(0,07 кредиту ЄКТС). </w:t>
      </w:r>
    </w:p>
    <w:p w:rsidR="00497B85" w:rsidRDefault="00497B85">
      <w:pPr>
        <w:pStyle w:val="1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організаційно-кадрової роботи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кадровим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ЄКТС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B85" w:rsidRDefault="00497B85">
      <w:pPr>
        <w:pStyle w:val="1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numPr>
          <w:ilvl w:val="0"/>
          <w:numId w:val="1"/>
        </w:numPr>
        <w:tabs>
          <w:tab w:val="center" w:pos="1133"/>
          <w:tab w:val="left" w:pos="113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Кадровим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до 15.04.2020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організаційно-кадрової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запропонованою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формою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https://cutt.ly/itHQlWE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97B85" w:rsidRDefault="00497B85">
      <w:pPr>
        <w:pStyle w:val="10"/>
        <w:tabs>
          <w:tab w:val="center" w:pos="1133"/>
          <w:tab w:val="left" w:pos="1133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організаційно-кадрової роботи до 17.04.2020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секретарю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заступникам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питань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заступнику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розподілу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278-Р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16.08.2019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B85" w:rsidRDefault="00497B85">
      <w:pPr>
        <w:pStyle w:val="1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17.04.2020 року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нараховувати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лікарняний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пройшли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грамотності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грамотність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1.0.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7B85" w:rsidRDefault="00497B85">
      <w:pPr>
        <w:pStyle w:val="1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497B85" w:rsidRDefault="00497B85">
      <w:pPr>
        <w:pStyle w:val="10"/>
        <w:spacing w:line="240" w:lineRule="auto"/>
        <w:ind w:left="-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-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-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-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О.М. Лисенко</w:t>
      </w:r>
    </w:p>
    <w:p w:rsidR="00497B85" w:rsidRDefault="00497B85">
      <w:pPr>
        <w:pStyle w:val="10"/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-1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pBdr>
          <w:bottom w:val="single" w:sz="12" w:space="1" w:color="000000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Баранов А.В., Кубрак О.М., Антоненко А.Г.</w:t>
      </w:r>
    </w:p>
    <w:p w:rsidR="00497B85" w:rsidRDefault="00A92BA9">
      <w:pPr>
        <w:pStyle w:val="10"/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Розіслати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розсилки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7B85" w:rsidRDefault="00A92BA9">
      <w:pPr>
        <w:pStyle w:val="10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97B85" w:rsidRDefault="00497B85">
      <w:pPr>
        <w:pStyle w:val="10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Начальник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 Кубрак</w:t>
      </w: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А.В. Баранов </w:t>
      </w:r>
    </w:p>
    <w:p w:rsidR="00497B85" w:rsidRDefault="00497B85">
      <w:pPr>
        <w:pStyle w:val="10"/>
        <w:spacing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протокольної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роботи та контролю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Моша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управління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організаційно-кадрової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А.Г. Антоненко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497B85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С.Я. Пак</w:t>
      </w:r>
    </w:p>
    <w:p w:rsidR="00497B85" w:rsidRDefault="00A92BA9">
      <w:pPr>
        <w:pStyle w:val="10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p w:rsidR="00497B85" w:rsidRDefault="00497B85">
      <w:pPr>
        <w:pStyle w:val="10"/>
      </w:pPr>
    </w:p>
    <w:sectPr w:rsidR="00497B85" w:rsidSect="00497B85">
      <w:pgSz w:w="11909" w:h="16834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80C"/>
    <w:multiLevelType w:val="multilevel"/>
    <w:tmpl w:val="B21EA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B85"/>
    <w:rsid w:val="00497B85"/>
    <w:rsid w:val="005C53A8"/>
    <w:rsid w:val="00A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6969"/>
  <w15:docId w15:val="{933EDD37-DC32-4118-8970-7E8649AF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97B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97B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97B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97B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97B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97B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97B85"/>
  </w:style>
  <w:style w:type="table" w:customStyle="1" w:styleId="TableNormal">
    <w:name w:val="Table Normal"/>
    <w:rsid w:val="00497B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97B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97B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97B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97B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itHQl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dii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Progekt</dc:creator>
  <cp:lastModifiedBy>Тарасенко Євгенія Олександрівна</cp:lastModifiedBy>
  <cp:revision>3</cp:revision>
  <dcterms:created xsi:type="dcterms:W3CDTF">2020-04-09T06:04:00Z</dcterms:created>
  <dcterms:modified xsi:type="dcterms:W3CDTF">2020-04-09T07:34:00Z</dcterms:modified>
</cp:coreProperties>
</file>