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6B55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6B551C">
              <w:rPr>
                <w:sz w:val="28"/>
              </w:rPr>
              <w:t>12.06.2020</w:t>
            </w:r>
            <w:r w:rsidR="00605924">
              <w:rPr>
                <w:sz w:val="28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B551C" w:rsidRPr="006B551C">
              <w:rPr>
                <w:sz w:val="28"/>
                <w:lang w:val="ru-RU"/>
              </w:rPr>
              <w:t>159-</w:t>
            </w:r>
            <w:r w:rsidR="006B551C">
              <w:rPr>
                <w:sz w:val="28"/>
              </w:rPr>
              <w:t>Р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546992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C741A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 </w:t>
            </w:r>
            <w:r w:rsidR="00546992">
              <w:rPr>
                <w:b/>
                <w:sz w:val="28"/>
                <w:szCs w:val="28"/>
              </w:rPr>
              <w:t>червня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  <w:bookmarkEnd w:id="0"/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C741AB">
        <w:rPr>
          <w:sz w:val="28"/>
          <w:szCs w:val="28"/>
        </w:rPr>
        <w:t>омітету Сумської міської ради 15</w:t>
      </w:r>
      <w:r>
        <w:rPr>
          <w:sz w:val="28"/>
          <w:szCs w:val="28"/>
        </w:rPr>
        <w:t xml:space="preserve"> </w:t>
      </w:r>
      <w:r w:rsidR="00546992">
        <w:rPr>
          <w:sz w:val="28"/>
          <w:szCs w:val="28"/>
        </w:rPr>
        <w:t>чер</w:t>
      </w:r>
      <w:r w:rsidR="00BC40D5">
        <w:rPr>
          <w:sz w:val="28"/>
          <w:szCs w:val="28"/>
        </w:rPr>
        <w:t>вня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 10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>забезпечити онлайн</w:t>
      </w:r>
      <w:r w:rsidR="00546992">
        <w:rPr>
          <w:sz w:val="28"/>
        </w:rPr>
        <w:t>-</w:t>
      </w:r>
      <w:r>
        <w:rPr>
          <w:sz w:val="28"/>
        </w:rPr>
        <w:t xml:space="preserve">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5469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 А.Г.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5469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5469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C741AB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2B4977">
              <w:rPr>
                <w:sz w:val="28"/>
                <w:szCs w:val="28"/>
                <w:lang w:val="ru-RU"/>
              </w:rPr>
              <w:t xml:space="preserve">аступник </w:t>
            </w:r>
            <w:r w:rsidR="002B4977">
              <w:rPr>
                <w:sz w:val="28"/>
                <w:szCs w:val="28"/>
              </w:rPr>
              <w:t xml:space="preserve">міського голови, </w:t>
            </w:r>
          </w:p>
          <w:p w:rsidR="002B4977" w:rsidRDefault="00117533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керуючого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C741AB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С.Я. Пак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5A" w:rsidRDefault="008F015A">
      <w:r>
        <w:separator/>
      </w:r>
    </w:p>
  </w:endnote>
  <w:endnote w:type="continuationSeparator" w:id="0">
    <w:p w:rsidR="008F015A" w:rsidRDefault="008F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5A" w:rsidRDefault="008F015A">
      <w:r>
        <w:separator/>
      </w:r>
    </w:p>
  </w:footnote>
  <w:footnote w:type="continuationSeparator" w:id="0">
    <w:p w:rsidR="008F015A" w:rsidRDefault="008F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6B551C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17533"/>
    <w:rsid w:val="001C539F"/>
    <w:rsid w:val="001E75B3"/>
    <w:rsid w:val="002B4977"/>
    <w:rsid w:val="002D44B8"/>
    <w:rsid w:val="003A6734"/>
    <w:rsid w:val="003A70C7"/>
    <w:rsid w:val="00400071"/>
    <w:rsid w:val="00546992"/>
    <w:rsid w:val="00587A26"/>
    <w:rsid w:val="00605924"/>
    <w:rsid w:val="00635D2E"/>
    <w:rsid w:val="006B551C"/>
    <w:rsid w:val="006F7AA7"/>
    <w:rsid w:val="0072410C"/>
    <w:rsid w:val="00783CA1"/>
    <w:rsid w:val="007A7835"/>
    <w:rsid w:val="007D70B0"/>
    <w:rsid w:val="0086264A"/>
    <w:rsid w:val="00894AA0"/>
    <w:rsid w:val="008E0BA6"/>
    <w:rsid w:val="008F015A"/>
    <w:rsid w:val="0094050C"/>
    <w:rsid w:val="00A14E76"/>
    <w:rsid w:val="00BB5C25"/>
    <w:rsid w:val="00BB608E"/>
    <w:rsid w:val="00BC40D5"/>
    <w:rsid w:val="00C741AB"/>
    <w:rsid w:val="00D31EA3"/>
    <w:rsid w:val="00D478D4"/>
    <w:rsid w:val="00D9449A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16AF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15</cp:revision>
  <cp:lastPrinted>2020-06-04T12:37:00Z</cp:lastPrinted>
  <dcterms:created xsi:type="dcterms:W3CDTF">2020-05-12T08:34:00Z</dcterms:created>
  <dcterms:modified xsi:type="dcterms:W3CDTF">2020-06-17T05:28:00Z</dcterms:modified>
</cp:coreProperties>
</file>