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36" w:rsidRDefault="00D04C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5"/>
        <w:tblW w:w="91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15"/>
        <w:gridCol w:w="1575"/>
        <w:gridCol w:w="3684"/>
      </w:tblGrid>
      <w:tr w:rsidR="00D04C36">
        <w:tc>
          <w:tcPr>
            <w:tcW w:w="3915" w:type="dxa"/>
            <w:shd w:val="clear" w:color="auto" w:fill="auto"/>
          </w:tcPr>
          <w:p w:rsidR="00D04C36" w:rsidRDefault="00D04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D04C36" w:rsidRDefault="004C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D04C36" w:rsidRDefault="00D04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4C36">
        <w:tc>
          <w:tcPr>
            <w:tcW w:w="3915" w:type="dxa"/>
            <w:shd w:val="clear" w:color="auto" w:fill="auto"/>
          </w:tcPr>
          <w:p w:rsidR="00D04C36" w:rsidRDefault="00D04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D04C36" w:rsidRDefault="00D04C36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D04C36" w:rsidRDefault="00D04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4C36">
        <w:tc>
          <w:tcPr>
            <w:tcW w:w="3915" w:type="dxa"/>
            <w:shd w:val="clear" w:color="auto" w:fill="auto"/>
          </w:tcPr>
          <w:p w:rsidR="00D04C36" w:rsidRDefault="00D04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D04C36" w:rsidRDefault="00D04C36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D04C36" w:rsidRDefault="00D04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4C36" w:rsidRDefault="004C1DD9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D04C36" w:rsidRDefault="004C1DD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D04C36" w:rsidRDefault="004C1DD9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D04C36" w:rsidRDefault="00D04C36">
      <w:pPr>
        <w:jc w:val="center"/>
        <w:rPr>
          <w:sz w:val="28"/>
          <w:szCs w:val="28"/>
        </w:rPr>
      </w:pPr>
    </w:p>
    <w:tbl>
      <w:tblPr>
        <w:tblStyle w:val="a6"/>
        <w:tblW w:w="4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</w:tblGrid>
      <w:tr w:rsidR="00D04C36">
        <w:trPr>
          <w:trHeight w:val="260"/>
        </w:trPr>
        <w:tc>
          <w:tcPr>
            <w:tcW w:w="4005" w:type="dxa"/>
          </w:tcPr>
          <w:p w:rsidR="00D04C36" w:rsidRDefault="004C1DD9" w:rsidP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15.06.2020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    161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D04C36">
        <w:trPr>
          <w:trHeight w:val="30"/>
        </w:trPr>
        <w:tc>
          <w:tcPr>
            <w:tcW w:w="4005" w:type="dxa"/>
          </w:tcPr>
          <w:p w:rsidR="00D04C36" w:rsidRDefault="00D04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C36">
        <w:tc>
          <w:tcPr>
            <w:tcW w:w="4005" w:type="dxa"/>
          </w:tcPr>
          <w:p w:rsidR="00D04C36" w:rsidRDefault="004C1DD9">
            <w:pPr>
              <w:ind w:right="-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Щодо створення робочої групи із моніторингу виконання Плану місцевого економічного розвитку в рамках ініціативи “Мери за економічне зростання”</w:t>
            </w:r>
          </w:p>
        </w:tc>
      </w:tr>
    </w:tbl>
    <w:p w:rsidR="00D04C36" w:rsidRDefault="00D04C36">
      <w:pPr>
        <w:tabs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D04C36" w:rsidRDefault="004C1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рішення Сумської міської ради № 5489 «Про затвердження Плану місцевого економічного розвитку міста Суми» від 6 серпня 2019 року необхідно здійснювати моніторинг Плану місцевого економічного розвитку міста Суми 1 раз у півріччя протягом 2 років</w:t>
      </w:r>
      <w:r>
        <w:rPr>
          <w:sz w:val="28"/>
          <w:szCs w:val="28"/>
        </w:rPr>
        <w:t>. Для забезпечення своєчасного звітування, керуючись пунктом 20 частини 4 статті 42 Закону України “Про місцеве самоврядування в Україні”:</w:t>
      </w:r>
    </w:p>
    <w:p w:rsidR="00D04C36" w:rsidRDefault="00D04C36">
      <w:pPr>
        <w:spacing w:line="276" w:lineRule="auto"/>
        <w:jc w:val="both"/>
        <w:rPr>
          <w:sz w:val="28"/>
          <w:szCs w:val="28"/>
        </w:rPr>
      </w:pPr>
    </w:p>
    <w:p w:rsidR="00D04C36" w:rsidRDefault="004C1DD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Створити </w:t>
      </w:r>
      <w:r>
        <w:rPr>
          <w:b/>
          <w:sz w:val="28"/>
          <w:szCs w:val="28"/>
        </w:rPr>
        <w:t>робочу групу</w:t>
      </w:r>
      <w:r>
        <w:rPr>
          <w:sz w:val="28"/>
          <w:szCs w:val="28"/>
        </w:rPr>
        <w:t xml:space="preserve"> з моніторингу виконання Плану місцевого економічного розвитку міста Суми в рамках ініціативи “Мери за економічне зростання” згідно з Додатком 1.</w:t>
      </w:r>
    </w:p>
    <w:p w:rsidR="00D04C36" w:rsidRDefault="004C1DD9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Затвердити Положення про Робочу групу з моніторингу Плану місцевого економічного розвитку міста Суми згідно з Додатком 2.</w:t>
      </w:r>
    </w:p>
    <w:p w:rsidR="00D04C36" w:rsidRDefault="004C1DD9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3.</w:t>
      </w:r>
      <w:r>
        <w:rPr>
          <w:sz w:val="28"/>
          <w:szCs w:val="28"/>
          <w:highlight w:val="white"/>
        </w:rPr>
        <w:t xml:space="preserve"> Виконавчим органам Сумської міської ради вчасно та </w:t>
      </w:r>
      <w:proofErr w:type="spellStart"/>
      <w:r>
        <w:rPr>
          <w:sz w:val="28"/>
          <w:szCs w:val="28"/>
          <w:highlight w:val="white"/>
        </w:rPr>
        <w:t>оперативно</w:t>
      </w:r>
      <w:proofErr w:type="spellEnd"/>
      <w:r>
        <w:rPr>
          <w:sz w:val="28"/>
          <w:szCs w:val="28"/>
          <w:highlight w:val="white"/>
        </w:rPr>
        <w:t xml:space="preserve"> надавати управлінню стратегічного розвитку міста Сумської міської ра</w:t>
      </w:r>
      <w:r>
        <w:rPr>
          <w:sz w:val="28"/>
          <w:szCs w:val="28"/>
          <w:highlight w:val="white"/>
        </w:rPr>
        <w:t>ди (pmo@smr.gov.ua) в кінці кожного півріччя (до 10 числа останнього місяця півріччя) інформацію щодо виконання заходів за Планом дій у Плані місцевого економічного розвитку міста Суми.</w:t>
      </w:r>
    </w:p>
    <w:p w:rsidR="00D04C36" w:rsidRDefault="004C1DD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4.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Робочій групі організувати розгляд звітів виконавчих органів Сумськ</w:t>
      </w:r>
      <w:r>
        <w:rPr>
          <w:sz w:val="28"/>
          <w:szCs w:val="28"/>
        </w:rPr>
        <w:t xml:space="preserve">ої міської ради щодо моніторингу виконання Плану місцевого економічного </w:t>
      </w:r>
      <w:r>
        <w:rPr>
          <w:sz w:val="28"/>
          <w:szCs w:val="28"/>
        </w:rPr>
        <w:lastRenderedPageBreak/>
        <w:t>розвитку міста Суми, сформувати та надіслати піврічні звіти до Секретаріату Ініціативи (до 25 числа останнього місяця кожного півріччя).</w:t>
      </w:r>
    </w:p>
    <w:p w:rsidR="00D04C36" w:rsidRDefault="004C1DD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Організацію виконання даного розпорядження п</w:t>
      </w:r>
      <w:r>
        <w:rPr>
          <w:sz w:val="28"/>
          <w:szCs w:val="28"/>
        </w:rPr>
        <w:t>окласти на Секретаря Сумської міської ради.</w:t>
      </w:r>
    </w:p>
    <w:p w:rsidR="00D04C36" w:rsidRDefault="004C1DD9">
      <w:pPr>
        <w:spacing w:line="276" w:lineRule="auto"/>
        <w:ind w:firstLine="720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Контроль за виконанням даного розпорядження залишаю за собою.</w:t>
      </w:r>
    </w:p>
    <w:p w:rsidR="00D04C36" w:rsidRDefault="00D04C36">
      <w:pPr>
        <w:tabs>
          <w:tab w:val="center" w:pos="4607"/>
        </w:tabs>
        <w:jc w:val="both"/>
        <w:rPr>
          <w:sz w:val="28"/>
          <w:szCs w:val="28"/>
          <w:highlight w:val="white"/>
        </w:rPr>
      </w:pPr>
    </w:p>
    <w:p w:rsidR="00D04C36" w:rsidRDefault="00D04C36">
      <w:pPr>
        <w:tabs>
          <w:tab w:val="left" w:pos="1134"/>
          <w:tab w:val="left" w:pos="4962"/>
        </w:tabs>
        <w:spacing w:line="276" w:lineRule="auto"/>
        <w:jc w:val="both"/>
        <w:rPr>
          <w:sz w:val="28"/>
          <w:szCs w:val="28"/>
        </w:rPr>
      </w:pPr>
    </w:p>
    <w:p w:rsidR="00D04C36" w:rsidRDefault="004C1D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О.М. Лисенко </w:t>
      </w:r>
    </w:p>
    <w:p w:rsidR="00D04C36" w:rsidRDefault="004C1DD9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Кубрак О.М </w:t>
      </w:r>
    </w:p>
    <w:p w:rsidR="00D04C36" w:rsidRDefault="004C1DD9">
      <w:pPr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701- 575</w:t>
      </w:r>
    </w:p>
    <w:p w:rsidR="00D04C36" w:rsidRDefault="004C1DD9">
      <w:pPr>
        <w:rPr>
          <w:b/>
          <w:sz w:val="28"/>
          <w:szCs w:val="28"/>
        </w:rPr>
      </w:pPr>
      <w:r>
        <w:rPr>
          <w:sz w:val="28"/>
          <w:szCs w:val="28"/>
        </w:rPr>
        <w:t>Розіслати: згідно зі списком розсилки</w:t>
      </w:r>
      <w:r>
        <w:br w:type="page"/>
      </w:r>
    </w:p>
    <w:p w:rsidR="00D04C36" w:rsidRDefault="00D04C36">
      <w:pPr>
        <w:spacing w:line="276" w:lineRule="auto"/>
        <w:jc w:val="both"/>
        <w:rPr>
          <w:sz w:val="28"/>
          <w:szCs w:val="28"/>
        </w:rPr>
      </w:pPr>
    </w:p>
    <w:tbl>
      <w:tblPr>
        <w:tblStyle w:val="a7"/>
        <w:tblW w:w="9390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4470"/>
        <w:gridCol w:w="4920"/>
      </w:tblGrid>
      <w:tr w:rsidR="00D04C36">
        <w:trPr>
          <w:trHeight w:val="114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стратегічного розвитку міс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Сумської міської ради</w:t>
            </w:r>
          </w:p>
          <w:p w:rsidR="00D04C36" w:rsidRDefault="00D04C36">
            <w:pPr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О.М. Кубрак </w:t>
            </w:r>
          </w:p>
        </w:tc>
      </w:tr>
      <w:tr w:rsidR="00D04C36">
        <w:trPr>
          <w:trHeight w:val="124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Сумської міської ради</w:t>
            </w: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Баранов </w:t>
            </w:r>
          </w:p>
        </w:tc>
      </w:tr>
      <w:tr w:rsidR="00D04C36">
        <w:trPr>
          <w:trHeight w:val="1460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4C1DD9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міського голови, керуючий справами виконавчого комітету Сумської міської ради</w:t>
            </w: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Войтенко</w:t>
            </w: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Моша</w:t>
            </w: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С.Я. Пак</w:t>
            </w:r>
          </w:p>
        </w:tc>
      </w:tr>
    </w:tbl>
    <w:p w:rsidR="00D04C36" w:rsidRDefault="004C1DD9">
      <w:pPr>
        <w:rPr>
          <w:sz w:val="28"/>
          <w:szCs w:val="28"/>
        </w:rPr>
      </w:pPr>
      <w:r>
        <w:br w:type="page"/>
      </w:r>
    </w:p>
    <w:p w:rsidR="00D04C36" w:rsidRDefault="004C1DD9">
      <w:pPr>
        <w:ind w:left="56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1 </w:t>
      </w:r>
    </w:p>
    <w:p w:rsidR="00D04C36" w:rsidRDefault="004C1DD9">
      <w:pPr>
        <w:ind w:left="56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розпорядження міського голови </w:t>
      </w:r>
    </w:p>
    <w:p w:rsidR="00D04C36" w:rsidRDefault="004C1DD9">
      <w:pPr>
        <w:ind w:left="56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від     15.06.2020</w:t>
      </w:r>
      <w:r>
        <w:rPr>
          <w:sz w:val="28"/>
          <w:szCs w:val="28"/>
        </w:rPr>
        <w:t xml:space="preserve">    № 161-Р</w:t>
      </w:r>
    </w:p>
    <w:p w:rsidR="00D04C36" w:rsidRDefault="00D04C36">
      <w:pPr>
        <w:ind w:right="-1"/>
        <w:jc w:val="center"/>
        <w:rPr>
          <w:b/>
          <w:sz w:val="28"/>
          <w:szCs w:val="28"/>
        </w:rPr>
      </w:pPr>
    </w:p>
    <w:p w:rsidR="00D04C36" w:rsidRDefault="004C1D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робочої групи</w:t>
      </w:r>
    </w:p>
    <w:p w:rsidR="00D04C36" w:rsidRDefault="004C1D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моніт</w:t>
      </w:r>
      <w:r>
        <w:rPr>
          <w:b/>
          <w:sz w:val="28"/>
          <w:szCs w:val="28"/>
        </w:rPr>
        <w:t xml:space="preserve">орингу виконання Плану місцевого економічного </w:t>
      </w:r>
    </w:p>
    <w:p w:rsidR="00D04C36" w:rsidRDefault="004C1D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міста Суми</w:t>
      </w:r>
    </w:p>
    <w:p w:rsidR="00D04C36" w:rsidRDefault="00D04C36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Style w:val="a8"/>
        <w:tblW w:w="9405" w:type="dxa"/>
        <w:tblInd w:w="-95" w:type="dxa"/>
        <w:tblLayout w:type="fixed"/>
        <w:tblLook w:val="0600" w:firstRow="0" w:lastRow="0" w:firstColumn="0" w:lastColumn="0" w:noHBand="1" w:noVBand="1"/>
      </w:tblPr>
      <w:tblGrid>
        <w:gridCol w:w="4210"/>
        <w:gridCol w:w="5195"/>
      </w:tblGrid>
      <w:tr w:rsidR="00D04C36">
        <w:trPr>
          <w:trHeight w:val="5160"/>
        </w:trPr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Лисенко </w:t>
            </w:r>
          </w:p>
          <w:p w:rsidR="00D04C36" w:rsidRDefault="004C1DD9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:rsidR="00D04C36" w:rsidRDefault="00D04C36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Баранов </w:t>
            </w: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Володимирович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Войтенко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Володимирович</w:t>
            </w:r>
          </w:p>
          <w:p w:rsidR="00D04C36" w:rsidRDefault="00D04C36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4C1DD9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Терещенко</w:t>
            </w:r>
          </w:p>
          <w:p w:rsidR="00D04C36" w:rsidRDefault="004C1DD9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Анатоліївна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numPr>
                <w:ilvl w:val="0"/>
                <w:numId w:val="3"/>
              </w:numPr>
              <w:ind w:left="283" w:right="-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міський голова міста Суми,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04C36" w:rsidRDefault="00D04C36">
            <w:pPr>
              <w:widowControl w:val="0"/>
              <w:ind w:left="283" w:right="-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4"/>
              </w:numPr>
              <w:ind w:left="283" w:right="-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Сумської міської ради,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співголова робочої 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04C36" w:rsidRDefault="00D04C36">
            <w:pPr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4"/>
              </w:numPr>
              <w:ind w:left="283" w:right="-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заступник міського голови,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заступник голови робочої 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04C36" w:rsidRDefault="00D04C36">
            <w:pPr>
              <w:widowControl w:val="0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widowControl w:val="0"/>
              <w:numPr>
                <w:ilvl w:val="0"/>
                <w:numId w:val="6"/>
              </w:numPr>
              <w:ind w:left="283" w:right="-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сектору грантової діяльності управління стратегічного розвитку міста Сумської міської ради,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секретар робочої групи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4C36">
        <w:trPr>
          <w:trHeight w:val="540"/>
        </w:trPr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tabs>
                <w:tab w:val="center" w:pos="4607"/>
              </w:tabs>
              <w:spacing w:before="0" w:after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Члени робочої групи: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D04C36">
            <w:pPr>
              <w:widowControl w:val="0"/>
              <w:ind w:left="283" w:right="-1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C36">
        <w:trPr>
          <w:trHeight w:val="2985"/>
        </w:trPr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Боженко</w:t>
            </w: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Катерина Володимирівна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C36" w:rsidRDefault="004C1DD9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Кубрак</w:t>
            </w:r>
          </w:p>
          <w:p w:rsidR="00D04C36" w:rsidRDefault="004C1DD9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Миколаївна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numPr>
                <w:ilvl w:val="0"/>
                <w:numId w:val="5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підприємництва, промисловості та організаційно-аналітичного забезпечення департаменту забезпечення ресурсних платежів;</w:t>
            </w:r>
          </w:p>
          <w:p w:rsidR="00D04C36" w:rsidRDefault="00D04C36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widowControl w:val="0"/>
              <w:numPr>
                <w:ilvl w:val="0"/>
                <w:numId w:val="10"/>
              </w:numPr>
              <w:ind w:left="283" w:right="-1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 стратегічного розвитку міста Сумської міської ради</w:t>
            </w:r>
          </w:p>
        </w:tc>
      </w:tr>
      <w:tr w:rsidR="00D04C36">
        <w:trPr>
          <w:trHeight w:val="1240"/>
        </w:trPr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tabs>
                <w:tab w:val="center" w:pos="4607"/>
              </w:tabs>
              <w:spacing w:before="0" w:after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Никоненко</w:t>
            </w:r>
            <w:proofErr w:type="spellEnd"/>
          </w:p>
          <w:p w:rsidR="00D04C36" w:rsidRDefault="004C1DD9">
            <w:pPr>
              <w:tabs>
                <w:tab w:val="center" w:pos="4607"/>
              </w:tabs>
              <w:spacing w:before="0" w:after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Вікторович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numPr>
                <w:ilvl w:val="0"/>
                <w:numId w:val="9"/>
              </w:numPr>
              <w:spacing w:before="0" w:after="0"/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маркетингу, промоції та туризму управління стратегічного розвитку міста;</w:t>
            </w:r>
          </w:p>
        </w:tc>
      </w:tr>
      <w:tr w:rsidR="00D04C36">
        <w:trPr>
          <w:trHeight w:val="1460"/>
        </w:trPr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Липова </w:t>
            </w: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 Андріївна</w:t>
            </w: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Чайченко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Володимирович</w:t>
            </w: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Кохан</w:t>
            </w: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Антоніна Іванівна</w:t>
            </w: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Левченко</w:t>
            </w: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Олексіївна</w:t>
            </w: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 Григорович</w:t>
            </w: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Іченська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 Анатоліївна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numPr>
                <w:ilvl w:val="0"/>
                <w:numId w:val="11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департаменту фінансів, економіки та інвестицій;</w:t>
            </w:r>
          </w:p>
          <w:p w:rsidR="00D04C36" w:rsidRDefault="00D04C36">
            <w:pPr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11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 правового управління;</w:t>
            </w:r>
          </w:p>
          <w:p w:rsidR="00D04C36" w:rsidRDefault="00D04C36">
            <w:pPr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11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департаменту комунікацій та інформаційної політики Сумської міської ради;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7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КУ “Агенція промоції “Суми” Сумської міської ради;</w:t>
            </w:r>
          </w:p>
          <w:p w:rsidR="00D04C36" w:rsidRDefault="00D04C36">
            <w:pPr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11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Центру інформаційної підтримки бізнесу м. Суми (за згодою);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12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спілки підприємців, орендарів та власників Сумської області (за згодою);</w:t>
            </w:r>
          </w:p>
        </w:tc>
      </w:tr>
      <w:tr w:rsidR="00D04C36">
        <w:trPr>
          <w:trHeight w:val="1220"/>
        </w:trPr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Мосунов</w:t>
            </w:r>
            <w:proofErr w:type="spellEnd"/>
          </w:p>
          <w:p w:rsidR="00D04C36" w:rsidRDefault="004C1DD9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Олександрович</w:t>
            </w:r>
          </w:p>
          <w:p w:rsidR="00D04C36" w:rsidRDefault="00D04C36">
            <w:pPr>
              <w:tabs>
                <w:tab w:val="center" w:pos="4607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Петрушенко</w:t>
            </w:r>
            <w:proofErr w:type="spellEnd"/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 Миколайович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Винниченко</w:t>
            </w:r>
          </w:p>
          <w:p w:rsidR="00D04C36" w:rsidRDefault="004C1DD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numPr>
                <w:ilvl w:val="0"/>
                <w:numId w:val="2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Сумської міської молодіжної організації “Молодь та підприємництво” (за згодою);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1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кафедрою міжнародних економічних відносин Сумського державного університету, голова правління ГО “Центр освіти впродовж життя” (за згодою);</w:t>
            </w:r>
          </w:p>
          <w:p w:rsidR="00D04C36" w:rsidRDefault="00D04C3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numPr>
                <w:ilvl w:val="0"/>
                <w:numId w:val="8"/>
              </w:numPr>
              <w:ind w:left="283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хгалтерського обліку та оподаткування ННІ БТ УАБС, доктор економічних наук, член ГО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-правозахисний координаційний центр” (за згодою).</w:t>
            </w:r>
          </w:p>
        </w:tc>
      </w:tr>
    </w:tbl>
    <w:p w:rsidR="00D04C36" w:rsidRDefault="004C1DD9">
      <w:pPr>
        <w:ind w:left="-283" w:right="282"/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Примітка. </w:t>
      </w:r>
      <w:r>
        <w:rPr>
          <w:sz w:val="20"/>
          <w:szCs w:val="20"/>
        </w:rPr>
        <w:t>У разі персональних змін у складі робочої групи або відсутності осіб, які входять до її складу, у зв'я</w:t>
      </w:r>
      <w:r>
        <w:rPr>
          <w:sz w:val="20"/>
          <w:szCs w:val="20"/>
        </w:rPr>
        <w:t>зку з відпусткою, хворобою чи з інших причин, особи, які виконують їх обов'язки, входять до складу робочої групи за посадами.</w:t>
      </w:r>
    </w:p>
    <w:p w:rsidR="00D04C36" w:rsidRDefault="00D04C36">
      <w:pPr>
        <w:ind w:left="-283" w:right="282"/>
        <w:rPr>
          <w:sz w:val="28"/>
          <w:szCs w:val="28"/>
        </w:rPr>
      </w:pPr>
    </w:p>
    <w:p w:rsidR="00D04C36" w:rsidRDefault="004C1DD9">
      <w:pPr>
        <w:ind w:left="-283" w:right="282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D04C36" w:rsidRDefault="004C1DD9">
      <w:pPr>
        <w:ind w:left="-283" w:right="282"/>
        <w:rPr>
          <w:sz w:val="28"/>
          <w:szCs w:val="28"/>
        </w:rPr>
      </w:pPr>
      <w:r>
        <w:rPr>
          <w:sz w:val="28"/>
          <w:szCs w:val="28"/>
        </w:rPr>
        <w:t>стратегічного розвитку міста                                                            О.М. Кубрак</w:t>
      </w:r>
      <w:r>
        <w:br w:type="page"/>
      </w:r>
    </w:p>
    <w:p w:rsidR="00D04C36" w:rsidRDefault="004C1D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2</w:t>
      </w:r>
    </w:p>
    <w:p w:rsidR="00D04C36" w:rsidRDefault="004C1DD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Затверджено:</w:t>
      </w:r>
    </w:p>
    <w:p w:rsidR="00D04C36" w:rsidRDefault="004C1DD9">
      <w:pPr>
        <w:ind w:lef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розпорядженням міського голови</w:t>
      </w:r>
    </w:p>
    <w:p w:rsidR="00D04C36" w:rsidRDefault="004C1DD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від    15.06.2020</w:t>
      </w:r>
      <w:r>
        <w:rPr>
          <w:sz w:val="28"/>
          <w:szCs w:val="28"/>
        </w:rPr>
        <w:t xml:space="preserve">    №  161-Р</w:t>
      </w:r>
    </w:p>
    <w:p w:rsidR="00D04C36" w:rsidRDefault="004C1DD9">
      <w:pPr>
        <w:ind w:left="43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4C36" w:rsidRDefault="00D04C36">
      <w:pPr>
        <w:rPr>
          <w:b/>
          <w:sz w:val="28"/>
          <w:szCs w:val="28"/>
        </w:rPr>
      </w:pPr>
    </w:p>
    <w:p w:rsidR="00D04C36" w:rsidRDefault="004C1DD9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 про робо</w:t>
      </w:r>
      <w:r>
        <w:rPr>
          <w:b/>
          <w:sz w:val="28"/>
          <w:szCs w:val="28"/>
        </w:rPr>
        <w:t>чу групу з моніторингу Плану місцевого економічного розвитку міста Суми</w:t>
      </w:r>
    </w:p>
    <w:p w:rsidR="00D04C36" w:rsidRDefault="00D04C36">
      <w:pPr>
        <w:jc w:val="both"/>
        <w:rPr>
          <w:b/>
          <w:sz w:val="28"/>
          <w:szCs w:val="28"/>
        </w:rPr>
      </w:pPr>
    </w:p>
    <w:p w:rsidR="00D04C36" w:rsidRDefault="004C1DD9">
      <w:pPr>
        <w:widowControl w:val="0"/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Робоча група з моніторингу Плану місцевого економічного розвитку (далі — Група) це тимчасовий консультативно-дорадчий орган, створений з метою моніторингу Плану місцевого економічного розвитку міста Суми у рамках ініціативи Європейського Союзу “Мери за </w:t>
      </w:r>
      <w:r>
        <w:rPr>
          <w:sz w:val="28"/>
          <w:szCs w:val="28"/>
        </w:rPr>
        <w:t>економічне зростання”(далі — План МЕР).</w:t>
      </w:r>
    </w:p>
    <w:p w:rsidR="00D04C36" w:rsidRDefault="004C1DD9">
      <w:pPr>
        <w:widowControl w:val="0"/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2. Група у своїй діяльності керується Конституцією та законами України, а також указами Президента України, актами Кабінету Міністрів України, Планом місцевого економічного розвитку, затвердженим рішенням Сумської мі</w:t>
      </w:r>
      <w:r>
        <w:rPr>
          <w:sz w:val="28"/>
          <w:szCs w:val="28"/>
        </w:rPr>
        <w:t>ської ради від 06.08.2019 № 5480-МР, рішенням робочої групи з розробки Плану місцевого економічного розвитку, створеної згідно з розпорядженням міського голови №213-Р від 18.06.2019 “Щодо створення робочої групи із розробки Плану місцевого економічного роз</w:t>
      </w:r>
      <w:r>
        <w:rPr>
          <w:sz w:val="28"/>
          <w:szCs w:val="28"/>
        </w:rPr>
        <w:t>витку в рамках ініціативи “Мери за економічне зростання”, а також цим Положенням.</w:t>
      </w:r>
    </w:p>
    <w:p w:rsidR="00D04C36" w:rsidRDefault="004C1DD9">
      <w:pPr>
        <w:widowControl w:val="0"/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3. Основними завданнями Групи є:</w:t>
      </w:r>
    </w:p>
    <w:p w:rsidR="00D04C36" w:rsidRDefault="004C1DD9">
      <w:pPr>
        <w:widowControl w:val="0"/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1) моніторинг виконання Плану МЕР в цілому та окремих дій i завдань згідно з Планом дій у Плані МЕР;</w:t>
      </w:r>
    </w:p>
    <w:p w:rsidR="00D04C36" w:rsidRDefault="004C1DD9">
      <w:pPr>
        <w:widowControl w:val="0"/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2) надання рекомендацій для прийняття рі</w:t>
      </w:r>
      <w:r>
        <w:rPr>
          <w:sz w:val="28"/>
          <w:szCs w:val="28"/>
        </w:rPr>
        <w:t>шень про розподіл ресурсів для досягнення дій та завдань Плану МЕР або їх коригування;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оцінка ступеня досягнення бачення, цілей Плану МЕР, повноти виконання дій, завдань, заходів та дотримання терміну їх виконання;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збір та опрацювання пропозицій з ко</w:t>
      </w:r>
      <w:r>
        <w:rPr>
          <w:sz w:val="28"/>
          <w:szCs w:val="28"/>
        </w:rPr>
        <w:t>ригування та оновлення Плану МЕР (у разі вимоги Секретаріату Ініціативи);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висвітлення процесу реалізації Плану МЕР, забезпечення відкритості та підзвітності; </w:t>
      </w:r>
    </w:p>
    <w:p w:rsidR="00D04C36" w:rsidRDefault="004C1DD9">
      <w:pPr>
        <w:widowControl w:val="0"/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7) залучення до співпраці, до процесів впровадження Плану МЕР органів місцевого самоврядування</w:t>
      </w:r>
      <w:r>
        <w:rPr>
          <w:sz w:val="28"/>
          <w:szCs w:val="28"/>
        </w:rPr>
        <w:t>, бізнесу і науки;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відстеження ходу реалізації Плану МЕР згідно з показниками моніторингу, звітування </w:t>
      </w:r>
      <w:proofErr w:type="spellStart"/>
      <w:r>
        <w:rPr>
          <w:sz w:val="28"/>
          <w:szCs w:val="28"/>
        </w:rPr>
        <w:t>щопівроку</w:t>
      </w:r>
      <w:proofErr w:type="spellEnd"/>
      <w:r>
        <w:rPr>
          <w:sz w:val="28"/>
          <w:szCs w:val="28"/>
        </w:rPr>
        <w:t xml:space="preserve"> до Секретаріату ініціативи.</w:t>
      </w:r>
    </w:p>
    <w:p w:rsidR="00D04C36" w:rsidRDefault="004C1DD9">
      <w:pPr>
        <w:widowControl w:val="0"/>
        <w:ind w:left="725" w:hanging="7"/>
        <w:jc w:val="both"/>
        <w:rPr>
          <w:sz w:val="28"/>
          <w:szCs w:val="28"/>
        </w:rPr>
      </w:pPr>
      <w:r>
        <w:rPr>
          <w:sz w:val="28"/>
          <w:szCs w:val="28"/>
        </w:rPr>
        <w:t>4. Група має право: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отримувати від виконавчих органів підприємств, установ та організацій інформацію, необхідну для виконання покладених на неї завдань;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залучати в установленому порядку до участі у своїй роботі представників органів виконавчої влади, органів місцевого с</w:t>
      </w:r>
      <w:r>
        <w:rPr>
          <w:sz w:val="28"/>
          <w:szCs w:val="28"/>
        </w:rPr>
        <w:t>амоврядування, підприємств, установ та організацій (за погодженням з їх керівниками), а також експертів (за згодою).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Керівництво роботою Групою здійснює її голова, затверджує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порядку денного засідань Групи на основі пропозицій її членів та голову</w:t>
      </w:r>
      <w:r>
        <w:rPr>
          <w:sz w:val="28"/>
          <w:szCs w:val="28"/>
        </w:rPr>
        <w:t xml:space="preserve">є під час проведення засідань Групи. На голову Групи покладається відповідальність за контроль над процесом реалізації і моніторингом виконання Плану МЕР. 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Голова представляє Групу у відносинах з органами державної влади, органами місцевого самоврядування,</w:t>
      </w:r>
      <w:r>
        <w:rPr>
          <w:sz w:val="28"/>
          <w:szCs w:val="28"/>
        </w:rPr>
        <w:t xml:space="preserve"> підприємствами, установами, організаціями, засобами масової інформації.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відсутності голови керівництво здійснює його заступник. </w:t>
      </w:r>
    </w:p>
    <w:p w:rsidR="00D04C36" w:rsidRDefault="004C1DD9">
      <w:pPr>
        <w:widowControl w:val="0"/>
        <w:ind w:left="5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Основною формою роботи Групи є засідання, що скликаються по мірі необхідності, але не рідше ніж один раз на к</w:t>
      </w:r>
      <w:r>
        <w:rPr>
          <w:sz w:val="28"/>
          <w:szCs w:val="28"/>
        </w:rPr>
        <w:t>вартал. Засідання Групи є правочинними, якщо на ньому присутні більш як половина її членів.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матеріалів для розгляду на засіданнях Групи, ведення протоколів її засідань забезпечує її секретар. Секретар не має права голосу. </w:t>
      </w:r>
    </w:p>
    <w:p w:rsidR="00D04C36" w:rsidRDefault="004C1DD9">
      <w:pPr>
        <w:widowControl w:val="0"/>
        <w:ind w:left="5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 своїх зас</w:t>
      </w:r>
      <w:r>
        <w:rPr>
          <w:sz w:val="28"/>
          <w:szCs w:val="28"/>
        </w:rPr>
        <w:t>іданнях Група розробляє пропозиції та рекомендації з питань, що належать до її завдань. Пропозиції та рекомендації вважаються схваленими, якщо за них проголосувало більш як половина присутніх на засіданні членів Групи. У разі рівного розподілу голосів вирі</w:t>
      </w:r>
      <w:r>
        <w:rPr>
          <w:sz w:val="28"/>
          <w:szCs w:val="28"/>
        </w:rPr>
        <w:t xml:space="preserve">шальним є голос головуючого на засіданні. 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Пропозиції та рекомендації фіксуються у протоколі засідання, який підписується головуючим на засіданні та секретарем.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 Групи, який не підтримує пропозиції (рекомендації), може викласти у письмовій формі свою о</w:t>
      </w:r>
      <w:r>
        <w:rPr>
          <w:sz w:val="28"/>
          <w:szCs w:val="28"/>
        </w:rPr>
        <w:t xml:space="preserve">крему думку, що додається до протоколу засідання. </w:t>
      </w:r>
    </w:p>
    <w:p w:rsidR="00D04C36" w:rsidRDefault="004C1DD9">
      <w:pPr>
        <w:widowControl w:val="0"/>
        <w:ind w:left="5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Пропозиції та рекомендації Групи можуть бути реалізовані шляхом прийняття рішень Сумською міською радою, її виконавчим комітетом, розпоряджень міського голови,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яких розробляє виконавчий орга</w:t>
      </w:r>
      <w:r>
        <w:rPr>
          <w:sz w:val="28"/>
          <w:szCs w:val="28"/>
        </w:rPr>
        <w:t xml:space="preserve">н СМР  відповідно до своїх повноважень. Для забезпечення виконання рішень Групи можуть надаватися доручення. 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Пропозиції (рекомендації) Групи є обов’язковими для розгляду виконавчими органами СМР у межах їх повноважень.</w:t>
      </w:r>
    </w:p>
    <w:p w:rsidR="00D04C36" w:rsidRDefault="004C1DD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Організаційне, інформаційне, мате</w:t>
      </w:r>
      <w:r>
        <w:rPr>
          <w:sz w:val="28"/>
          <w:szCs w:val="28"/>
        </w:rPr>
        <w:t xml:space="preserve">ріально-технічне забезпечення діяльності Групи здійснює управління стратегічного розвитку міста СМР. </w:t>
      </w:r>
    </w:p>
    <w:p w:rsidR="00D04C36" w:rsidRDefault="00D04C36">
      <w:pPr>
        <w:widowControl w:val="0"/>
        <w:spacing w:before="120"/>
        <w:jc w:val="both"/>
        <w:rPr>
          <w:sz w:val="28"/>
          <w:szCs w:val="28"/>
        </w:rPr>
      </w:pPr>
    </w:p>
    <w:p w:rsidR="00D04C36" w:rsidRDefault="00D04C36">
      <w:pPr>
        <w:widowControl w:val="0"/>
        <w:spacing w:before="120"/>
        <w:jc w:val="both"/>
        <w:rPr>
          <w:sz w:val="28"/>
          <w:szCs w:val="28"/>
        </w:rPr>
      </w:pPr>
    </w:p>
    <w:p w:rsidR="00D04C36" w:rsidRDefault="00D04C36">
      <w:pPr>
        <w:widowControl w:val="0"/>
        <w:spacing w:before="120"/>
        <w:jc w:val="both"/>
        <w:rPr>
          <w:sz w:val="28"/>
          <w:szCs w:val="28"/>
        </w:rPr>
      </w:pPr>
    </w:p>
    <w:p w:rsidR="00D04C36" w:rsidRDefault="004C1DD9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D04C36" w:rsidRDefault="004C1DD9">
      <w:pPr>
        <w:tabs>
          <w:tab w:val="left" w:pos="8055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стратегічного розвитку міста                                                          О.М. Кубрак</w:t>
      </w:r>
    </w:p>
    <w:p w:rsidR="00D04C36" w:rsidRDefault="00D04C36">
      <w:pPr>
        <w:ind w:left="1" w:hanging="3"/>
        <w:jc w:val="both"/>
        <w:rPr>
          <w:sz w:val="28"/>
          <w:szCs w:val="28"/>
        </w:rPr>
      </w:pPr>
    </w:p>
    <w:p w:rsidR="00D04C36" w:rsidRDefault="00D04C36">
      <w:pPr>
        <w:ind w:left="-1"/>
        <w:jc w:val="both"/>
        <w:rPr>
          <w:b/>
          <w:sz w:val="28"/>
          <w:szCs w:val="28"/>
        </w:rPr>
      </w:pPr>
    </w:p>
    <w:p w:rsidR="00D04C36" w:rsidRDefault="00D04C36">
      <w:pPr>
        <w:ind w:left="1" w:hanging="3"/>
        <w:jc w:val="both"/>
        <w:rPr>
          <w:b/>
          <w:sz w:val="28"/>
          <w:szCs w:val="28"/>
        </w:rPr>
      </w:pPr>
    </w:p>
    <w:p w:rsidR="00D04C36" w:rsidRDefault="00D04C36">
      <w:pPr>
        <w:ind w:left="1" w:hanging="3"/>
        <w:jc w:val="both"/>
        <w:rPr>
          <w:b/>
          <w:sz w:val="28"/>
          <w:szCs w:val="28"/>
        </w:rPr>
      </w:pPr>
    </w:p>
    <w:p w:rsidR="00D04C36" w:rsidRDefault="00D04C36">
      <w:pPr>
        <w:ind w:left="1" w:hanging="3"/>
        <w:jc w:val="both"/>
        <w:rPr>
          <w:sz w:val="28"/>
          <w:szCs w:val="28"/>
        </w:rPr>
      </w:pPr>
    </w:p>
    <w:p w:rsidR="00D04C36" w:rsidRDefault="00D04C36">
      <w:pPr>
        <w:ind w:left="-283" w:right="282"/>
        <w:rPr>
          <w:sz w:val="28"/>
          <w:szCs w:val="28"/>
        </w:rPr>
      </w:pPr>
    </w:p>
    <w:p w:rsidR="00D04C36" w:rsidRDefault="004C1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розсилки </w:t>
      </w:r>
    </w:p>
    <w:p w:rsidR="00D04C36" w:rsidRDefault="004C1DD9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 xml:space="preserve">розпорядження міського голови від       №      “Щодо створення робочої групи із моніторингу виконання Плану місцевого економічного розвитку в рамках ініціативи “Мери за економічне зростання” </w:t>
      </w:r>
    </w:p>
    <w:p w:rsidR="00D04C36" w:rsidRDefault="00D04C36">
      <w:pPr>
        <w:jc w:val="center"/>
        <w:rPr>
          <w:b/>
          <w:sz w:val="28"/>
          <w:szCs w:val="28"/>
        </w:rPr>
      </w:pPr>
    </w:p>
    <w:tbl>
      <w:tblPr>
        <w:tblStyle w:val="a9"/>
        <w:tblW w:w="94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090"/>
        <w:gridCol w:w="2355"/>
        <w:gridCol w:w="3435"/>
      </w:tblGrid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організації/ установи/ підрозділу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П.І.Б. адресата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оштова/електронна</w:t>
            </w:r>
          </w:p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Войтенко Володимир Володимирович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voitenko_v@smr.gov.ua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Андрій Володимирович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baranov_a@smr.gov.ua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Кубрак Оксана Миколаївна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pmo@smr.gov.ua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забезпечення ресурсних платежів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Юрій Миколайович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dresurs@smr.gov.ua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фінансів, економіки та інвестицій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Липова Світлана Андріївна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mfin@smr.gov.ua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D04C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Правове управління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pravo@smr.gov.ua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“Агенція промоція “Суми”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Юлія Олексіївна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agencypromotion27@gmail.com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комунікацій та інформаційної політики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 Антоніна Іванівна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dkip@smr.gov.ua</w:t>
            </w:r>
          </w:p>
        </w:tc>
      </w:tr>
      <w:tr w:rsidR="00D04C36">
        <w:trPr>
          <w:trHeight w:val="1860"/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інформаційної підтримки бізнесу м. Суми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Савченко Тарас Григорович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40000, м. Суми, вулиця Покровська, 9/1</w:t>
            </w:r>
          </w:p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tar.savchenko@gmail.com</w:t>
            </w:r>
          </w:p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bscenter.sumy@gmail.com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Спілка підприємців, орендарів та власників Сумської області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Іченська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Світлана Анатоліївна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40007, м. Суми, вулиця Римського-Корсакова, 8, кв.6</w:t>
            </w:r>
          </w:p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spilkasumy@online.ua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міська молодіжна організація “Молодь та підприємництво”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Олександрович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40006, м. Суми, 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35</w:t>
            </w:r>
          </w:p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mosunov1980@gmail.com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Сумський державний університет, ГО “Центр освіти впродовж життя”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Петрушенко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Юрій Миколайович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yuriy.petrushenko@gmail.com</w:t>
            </w:r>
          </w:p>
        </w:tc>
      </w:tr>
      <w:tr w:rsidR="00D04C36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ННІ БТ УАБС, ГО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-правозахисн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координаційний центр”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Винниченко Наталія Володимирівна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36" w:rsidRDefault="004C1D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vinnichenkonataliia@gmail.com</w:t>
            </w:r>
          </w:p>
        </w:tc>
      </w:tr>
    </w:tbl>
    <w:p w:rsidR="00D04C36" w:rsidRDefault="00D04C36">
      <w:pPr>
        <w:spacing w:line="276" w:lineRule="auto"/>
        <w:jc w:val="both"/>
        <w:rPr>
          <w:b/>
          <w:sz w:val="28"/>
          <w:szCs w:val="28"/>
        </w:rPr>
      </w:pPr>
    </w:p>
    <w:p w:rsidR="00D04C36" w:rsidRDefault="00D04C36">
      <w:pPr>
        <w:spacing w:line="276" w:lineRule="auto"/>
        <w:jc w:val="both"/>
        <w:rPr>
          <w:sz w:val="28"/>
          <w:szCs w:val="28"/>
        </w:rPr>
      </w:pPr>
    </w:p>
    <w:p w:rsidR="00D04C36" w:rsidRDefault="004C1DD9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D04C36" w:rsidRDefault="004C1DD9">
      <w:pPr>
        <w:tabs>
          <w:tab w:val="left" w:pos="8055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стратегічного розвитку міста                                                          О.М. Кубрак</w:t>
      </w:r>
    </w:p>
    <w:p w:rsidR="00D04C36" w:rsidRDefault="00D04C36">
      <w:pPr>
        <w:spacing w:line="273" w:lineRule="auto"/>
        <w:jc w:val="both"/>
        <w:rPr>
          <w:sz w:val="28"/>
          <w:szCs w:val="28"/>
        </w:rPr>
      </w:pPr>
    </w:p>
    <w:sectPr w:rsidR="00D04C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718" w:bottom="1134" w:left="1700" w:header="0" w:footer="14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DD9">
      <w:r>
        <w:separator/>
      </w:r>
    </w:p>
  </w:endnote>
  <w:endnote w:type="continuationSeparator" w:id="0">
    <w:p w:rsidR="00000000" w:rsidRDefault="004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36" w:rsidRDefault="00D04C36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36" w:rsidRDefault="00D04C3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1DD9">
      <w:r>
        <w:separator/>
      </w:r>
    </w:p>
  </w:footnote>
  <w:footnote w:type="continuationSeparator" w:id="0">
    <w:p w:rsidR="00000000" w:rsidRDefault="004C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36" w:rsidRDefault="004C1D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04C36" w:rsidRDefault="00D04C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36" w:rsidRDefault="00D04C3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59D"/>
    <w:multiLevelType w:val="multilevel"/>
    <w:tmpl w:val="67F6A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A2F71"/>
    <w:multiLevelType w:val="multilevel"/>
    <w:tmpl w:val="966C5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A26039"/>
    <w:multiLevelType w:val="multilevel"/>
    <w:tmpl w:val="79982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E46E5E"/>
    <w:multiLevelType w:val="multilevel"/>
    <w:tmpl w:val="B704A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467EFD"/>
    <w:multiLevelType w:val="multilevel"/>
    <w:tmpl w:val="0052A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7A2160"/>
    <w:multiLevelType w:val="multilevel"/>
    <w:tmpl w:val="2E5C0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6D25BF"/>
    <w:multiLevelType w:val="multilevel"/>
    <w:tmpl w:val="B94E5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9A4C6D"/>
    <w:multiLevelType w:val="multilevel"/>
    <w:tmpl w:val="7F0200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837024"/>
    <w:multiLevelType w:val="multilevel"/>
    <w:tmpl w:val="D9760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4E3A05"/>
    <w:multiLevelType w:val="multilevel"/>
    <w:tmpl w:val="11C2A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0544CD"/>
    <w:multiLevelType w:val="multilevel"/>
    <w:tmpl w:val="5B6A4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D61824"/>
    <w:multiLevelType w:val="multilevel"/>
    <w:tmpl w:val="BCCA2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36"/>
    <w:rsid w:val="004C1DD9"/>
    <w:rsid w:val="00D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1F1A"/>
  <w15:docId w15:val="{D1A45390-4D26-4AA3-8860-9271FFA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mallCap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keepNext/>
      <w:spacing w:before="40" w:after="4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Євгенія Олександрівна</cp:lastModifiedBy>
  <cp:revision>2</cp:revision>
  <dcterms:created xsi:type="dcterms:W3CDTF">2020-06-15T07:05:00Z</dcterms:created>
  <dcterms:modified xsi:type="dcterms:W3CDTF">2020-06-15T07:11:00Z</dcterms:modified>
</cp:coreProperties>
</file>