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9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AB6756" w:rsidRPr="00F11600" w:rsidTr="00A10D57">
        <w:tc>
          <w:tcPr>
            <w:tcW w:w="4995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F11600">
              <w:rPr>
                <w:b/>
                <w:sz w:val="28"/>
                <w:szCs w:val="28"/>
                <w:lang w:val="uk-UA"/>
              </w:rPr>
              <w:t>11.10.2024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F11600">
              <w:rPr>
                <w:b/>
                <w:sz w:val="28"/>
                <w:szCs w:val="28"/>
                <w:lang w:val="uk-UA"/>
              </w:rPr>
              <w:t>335-Р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A61666" w:rsidP="00867ACA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A6166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3B7CC4">
              <w:rPr>
                <w:b/>
                <w:sz w:val="28"/>
                <w:szCs w:val="28"/>
                <w:lang w:val="uk-UA"/>
              </w:rPr>
              <w:t xml:space="preserve">внесення змін до розпорядження міського голови від 02.09.2024 № 285-Р «Про </w:t>
            </w:r>
            <w:r w:rsidRPr="00A61666">
              <w:rPr>
                <w:b/>
                <w:sz w:val="28"/>
                <w:szCs w:val="28"/>
                <w:lang w:val="uk-UA"/>
              </w:rPr>
              <w:t xml:space="preserve">проведення аудиту окремих питань </w:t>
            </w:r>
            <w:r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0D39C9">
              <w:rPr>
                <w:b/>
                <w:sz w:val="28"/>
                <w:szCs w:val="28"/>
                <w:lang w:val="uk-UA"/>
              </w:rPr>
              <w:t>«</w:t>
            </w:r>
            <w:r w:rsidR="00867ACA">
              <w:rPr>
                <w:b/>
                <w:sz w:val="28"/>
                <w:szCs w:val="28"/>
                <w:lang w:val="uk-UA"/>
              </w:rPr>
              <w:t>Чисте місто</w:t>
            </w:r>
            <w:r w:rsidR="00EB5881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54A5C">
              <w:rPr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bookmarkStart w:id="0" w:name="_GoBack"/>
        <w:bookmarkEnd w:id="0"/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3B7CC4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зміни в структурі управління внутрішнього контролю та аудиту Сумської міської ради, внесені відповідно до </w:t>
      </w:r>
      <w:r w:rsidRPr="0032148B">
        <w:rPr>
          <w:rFonts w:ascii="Times New Roman" w:hAnsi="Times New Roman" w:cs="Times New Roman"/>
          <w:sz w:val="28"/>
          <w:szCs w:val="28"/>
          <w:lang w:val="uk-UA"/>
        </w:rPr>
        <w:t xml:space="preserve">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 (зі змінами)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начальника управління внутрішнього контролю та аудиту Сумської міської ради Козачок І.В. від 11.10.2024 </w:t>
      </w:r>
      <w:r w:rsidRPr="0032148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74F" w:rsidRPr="005C274F">
        <w:rPr>
          <w:rFonts w:ascii="Times New Roman" w:hAnsi="Times New Roman" w:cs="Times New Roman"/>
          <w:sz w:val="28"/>
          <w:szCs w:val="28"/>
          <w:lang w:val="uk-UA"/>
        </w:rPr>
        <w:t xml:space="preserve">83/35-01-11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перенесення термінів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пунктом 2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частини 4 статті 42 Закону України «Про місцеве самоврядування в Україні»:</w:t>
      </w:r>
    </w:p>
    <w:p w:rsidR="003B7CC4" w:rsidRDefault="003B7CC4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9AD" w:rsidRPr="004E65DD" w:rsidRDefault="003B7CC4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розпорядження міського голови </w:t>
      </w:r>
      <w:r w:rsidRPr="003B7CC4">
        <w:rPr>
          <w:rFonts w:ascii="Times New Roman" w:hAnsi="Times New Roman" w:cs="Times New Roman"/>
          <w:sz w:val="28"/>
          <w:szCs w:val="28"/>
          <w:lang w:val="uk-UA"/>
        </w:rPr>
        <w:t>від 02.09.2024 № 285-Р «Про проведення аудиту окремих питань ефективності фінансово-господарської діяльності Комунального підприємства «Чисте місто»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CF04F0" w:rsidRPr="00CF04F0" w:rsidRDefault="00CF04F0" w:rsidP="00CF04F0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Змінити у п. 2 посади: </w:t>
      </w:r>
    </w:p>
    <w:p w:rsidR="00CF04F0" w:rsidRDefault="00CF04F0" w:rsidP="00CF04F0">
      <w:pPr>
        <w:tabs>
          <w:tab w:val="left" w:pos="0"/>
          <w:tab w:val="left" w:pos="180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Андрущенко О.М. із завідувача сектором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начальника відділу тарифної політики 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04F0" w:rsidRPr="00CF04F0" w:rsidRDefault="00CF04F0" w:rsidP="00CF04F0">
      <w:pPr>
        <w:tabs>
          <w:tab w:val="left" w:pos="0"/>
          <w:tab w:val="left" w:pos="180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Самсоненко О.М.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4B7">
        <w:rPr>
          <w:rFonts w:ascii="Times New Roman" w:hAnsi="Times New Roman" w:cs="Times New Roman"/>
          <w:sz w:val="28"/>
          <w:lang w:val="uk-UA"/>
        </w:rPr>
        <w:t>головн</w:t>
      </w:r>
      <w:r>
        <w:rPr>
          <w:rFonts w:ascii="Times New Roman" w:hAnsi="Times New Roman" w:cs="Times New Roman"/>
          <w:sz w:val="28"/>
          <w:lang w:val="uk-UA"/>
        </w:rPr>
        <w:t>ого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сектору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аналізу та фінансової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lang w:val="uk-UA"/>
        </w:rPr>
        <w:t xml:space="preserve">завідувача сектором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756" w:rsidRDefault="003B7CC4" w:rsidP="00CF04F0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Доповнити п. 2 член</w:t>
      </w:r>
      <w:r w:rsidR="00CF04F0">
        <w:rPr>
          <w:rFonts w:ascii="Times New Roman" w:hAnsi="Times New Roman" w:cs="Times New Roman"/>
          <w:sz w:val="28"/>
          <w:lang w:val="uk-UA"/>
        </w:rPr>
        <w:t>ом</w:t>
      </w:r>
      <w:r>
        <w:rPr>
          <w:rFonts w:ascii="Times New Roman" w:hAnsi="Times New Roman" w:cs="Times New Roman"/>
          <w:sz w:val="28"/>
          <w:lang w:val="uk-UA"/>
        </w:rPr>
        <w:t xml:space="preserve"> аудиторської групи</w:t>
      </w:r>
      <w:r w:rsidR="00CF04F0">
        <w:rPr>
          <w:rFonts w:ascii="Times New Roman" w:hAnsi="Times New Roman" w:cs="Times New Roman"/>
          <w:sz w:val="28"/>
          <w:lang w:val="uk-UA"/>
        </w:rPr>
        <w:t xml:space="preserve">: </w:t>
      </w:r>
      <w:r w:rsidR="0032148B">
        <w:rPr>
          <w:rFonts w:ascii="Times New Roman" w:hAnsi="Times New Roman" w:cs="Times New Roman"/>
          <w:sz w:val="28"/>
          <w:lang w:val="uk-UA"/>
        </w:rPr>
        <w:t xml:space="preserve">Коновалова </w:t>
      </w:r>
      <w:r w:rsidR="00CF04F0">
        <w:rPr>
          <w:rFonts w:ascii="Times New Roman" w:hAnsi="Times New Roman" w:cs="Times New Roman"/>
          <w:sz w:val="28"/>
          <w:lang w:val="uk-UA"/>
        </w:rPr>
        <w:t xml:space="preserve">В.Г. головний спеціаліст </w:t>
      </w:r>
      <w:r w:rsidR="00CF04F0">
        <w:rPr>
          <w:rFonts w:ascii="Times New Roman" w:hAnsi="Times New Roman" w:cs="Times New Roman"/>
          <w:sz w:val="28"/>
          <w:szCs w:val="28"/>
          <w:lang w:val="uk-UA"/>
        </w:rPr>
        <w:t>відділу тарифної політики управління внутрішнього контролю та аудиту</w:t>
      </w:r>
      <w:r w:rsidR="00CF04F0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CF0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04F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009AD" w:rsidRPr="004E65DD" w:rsidRDefault="003009AD" w:rsidP="00CF04F0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4F0" w:rsidRDefault="00CF04F0" w:rsidP="00CF04F0">
      <w:pPr>
        <w:pStyle w:val="a8"/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програмі аудиту «Термін проведення аудиту» 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>заміни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слова та цифри </w:t>
      </w:r>
      <w:r>
        <w:rPr>
          <w:rFonts w:ascii="Times New Roman" w:hAnsi="Times New Roman" w:cs="Times New Roman"/>
          <w:sz w:val="28"/>
          <w:lang w:val="uk-UA"/>
        </w:rPr>
        <w:t>«по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14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10</w:t>
      </w:r>
      <w:r w:rsidRPr="00C454B7">
        <w:rPr>
          <w:rFonts w:ascii="Times New Roman" w:hAnsi="Times New Roman" w:cs="Times New Roman"/>
          <w:sz w:val="28"/>
          <w:lang w:val="uk-UA"/>
        </w:rPr>
        <w:t>.2024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>.10.2024».</w:t>
      </w:r>
    </w:p>
    <w:p w:rsidR="00CF04F0" w:rsidRPr="00CF04F0" w:rsidRDefault="00CF04F0" w:rsidP="00CF04F0">
      <w:pPr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4F0" w:rsidRPr="00CF04F0" w:rsidRDefault="00CF04F0" w:rsidP="00CF04F0">
      <w:pPr>
        <w:pStyle w:val="a8"/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пункті 4 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>заміни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слова та цифри </w:t>
      </w:r>
      <w:r>
        <w:rPr>
          <w:rFonts w:ascii="Times New Roman" w:hAnsi="Times New Roman" w:cs="Times New Roman"/>
          <w:sz w:val="28"/>
          <w:lang w:val="uk-UA"/>
        </w:rPr>
        <w:t>«до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21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10</w:t>
      </w:r>
      <w:r w:rsidRPr="00C454B7">
        <w:rPr>
          <w:rFonts w:ascii="Times New Roman" w:hAnsi="Times New Roman" w:cs="Times New Roman"/>
          <w:sz w:val="28"/>
          <w:lang w:val="uk-UA"/>
        </w:rPr>
        <w:t>.2024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>на «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CF04F0">
        <w:rPr>
          <w:rFonts w:ascii="Times New Roman" w:hAnsi="Times New Roman" w:cs="Times New Roman"/>
          <w:sz w:val="28"/>
          <w:szCs w:val="28"/>
          <w:lang w:val="uk-UA"/>
        </w:rPr>
        <w:t>.10.2024».</w:t>
      </w:r>
    </w:p>
    <w:p w:rsidR="003009AD" w:rsidRPr="00C454B7" w:rsidRDefault="003009AD" w:rsidP="00CF04F0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C454B7" w:rsidRDefault="00AB6756" w:rsidP="00300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112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867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Власенко Г.М.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D04A7E" w:rsidRDefault="00D04A7E" w:rsidP="000679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>АРКУШ   ПОГОДЖЕННЯ</w:t>
      </w: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Pr="002F0D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48B" w:rsidRPr="0032148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міського голови від 02.09.2024 № 285-Р «Про проведення аудиту окремих питань ефективності фінансово-господарської діяльності Комунального підприємства «Чисте місто» Сумської міської ради</w:t>
      </w:r>
    </w:p>
    <w:p w:rsidR="00B118D5" w:rsidRPr="008F0A46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B118D5" w:rsidTr="002732AF">
        <w:tc>
          <w:tcPr>
            <w:tcW w:w="4248" w:type="dxa"/>
            <w:shd w:val="clear" w:color="auto" w:fill="auto"/>
          </w:tcPr>
          <w:p w:rsidR="00B118D5" w:rsidRDefault="00B118D5" w:rsidP="0006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067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  <w:p w:rsidR="0006792B" w:rsidRPr="00B118D5" w:rsidRDefault="0006792B" w:rsidP="0006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 Козачок</w:t>
            </w:r>
          </w:p>
        </w:tc>
      </w:tr>
      <w:tr w:rsidR="00B118D5" w:rsidTr="002732AF">
        <w:tc>
          <w:tcPr>
            <w:tcW w:w="4248" w:type="dxa"/>
            <w:shd w:val="clear" w:color="auto" w:fill="auto"/>
          </w:tcPr>
          <w:p w:rsidR="00B118D5" w:rsidRDefault="0032148B" w:rsidP="006B67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118D5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  <w:p w:rsidR="0006792B" w:rsidRPr="00B118D5" w:rsidRDefault="0006792B" w:rsidP="006B67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32148B" w:rsidP="006B6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Д.П. Висіканцев</w:t>
            </w:r>
          </w:p>
        </w:tc>
      </w:tr>
      <w:tr w:rsidR="00B118D5" w:rsidTr="002732AF">
        <w:tc>
          <w:tcPr>
            <w:tcW w:w="4248" w:type="dxa"/>
            <w:shd w:val="clear" w:color="auto" w:fill="auto"/>
          </w:tcPr>
          <w:p w:rsidR="00B118D5" w:rsidRPr="00B118D5" w:rsidRDefault="00B118D5" w:rsidP="00273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F0DBA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F0" w:rsidRDefault="003741F0">
      <w:pPr>
        <w:spacing w:line="240" w:lineRule="auto"/>
      </w:pPr>
      <w:r>
        <w:separator/>
      </w:r>
    </w:p>
  </w:endnote>
  <w:endnote w:type="continuationSeparator" w:id="0">
    <w:p w:rsidR="003741F0" w:rsidRDefault="00374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F0" w:rsidRDefault="003741F0">
      <w:pPr>
        <w:spacing w:after="0"/>
      </w:pPr>
      <w:r>
        <w:separator/>
      </w:r>
    </w:p>
  </w:footnote>
  <w:footnote w:type="continuationSeparator" w:id="0">
    <w:p w:rsidR="003741F0" w:rsidRDefault="003741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68ED"/>
    <w:rsid w:val="0006792B"/>
    <w:rsid w:val="00081B73"/>
    <w:rsid w:val="00095CF6"/>
    <w:rsid w:val="000B3CCC"/>
    <w:rsid w:val="000C5A8C"/>
    <w:rsid w:val="000D39C9"/>
    <w:rsid w:val="001121EC"/>
    <w:rsid w:val="00141E94"/>
    <w:rsid w:val="00190323"/>
    <w:rsid w:val="001A232E"/>
    <w:rsid w:val="001A3DFA"/>
    <w:rsid w:val="001B6621"/>
    <w:rsid w:val="001D443A"/>
    <w:rsid w:val="001E51AF"/>
    <w:rsid w:val="00200EC1"/>
    <w:rsid w:val="002014AF"/>
    <w:rsid w:val="0025527F"/>
    <w:rsid w:val="00272425"/>
    <w:rsid w:val="0027274F"/>
    <w:rsid w:val="00284F71"/>
    <w:rsid w:val="00293397"/>
    <w:rsid w:val="002D0F81"/>
    <w:rsid w:val="002F0DBA"/>
    <w:rsid w:val="00300991"/>
    <w:rsid w:val="003009AD"/>
    <w:rsid w:val="003117F3"/>
    <w:rsid w:val="0032148B"/>
    <w:rsid w:val="003238E5"/>
    <w:rsid w:val="003741F0"/>
    <w:rsid w:val="00386585"/>
    <w:rsid w:val="003B7CC4"/>
    <w:rsid w:val="003C34C4"/>
    <w:rsid w:val="003C7BCA"/>
    <w:rsid w:val="00402400"/>
    <w:rsid w:val="004803E5"/>
    <w:rsid w:val="00487B9D"/>
    <w:rsid w:val="0049262B"/>
    <w:rsid w:val="00492D4B"/>
    <w:rsid w:val="004E65DD"/>
    <w:rsid w:val="00552559"/>
    <w:rsid w:val="005561B3"/>
    <w:rsid w:val="00556725"/>
    <w:rsid w:val="005C274F"/>
    <w:rsid w:val="005F7328"/>
    <w:rsid w:val="006120C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87A7E"/>
    <w:rsid w:val="007979DC"/>
    <w:rsid w:val="007E5DD6"/>
    <w:rsid w:val="007F1249"/>
    <w:rsid w:val="00806D0D"/>
    <w:rsid w:val="00836D12"/>
    <w:rsid w:val="00851C1D"/>
    <w:rsid w:val="00867ACA"/>
    <w:rsid w:val="00873817"/>
    <w:rsid w:val="008803DF"/>
    <w:rsid w:val="00881299"/>
    <w:rsid w:val="00883A25"/>
    <w:rsid w:val="008B100E"/>
    <w:rsid w:val="008C568D"/>
    <w:rsid w:val="008D0D42"/>
    <w:rsid w:val="008F0A46"/>
    <w:rsid w:val="00934757"/>
    <w:rsid w:val="00951D19"/>
    <w:rsid w:val="00960852"/>
    <w:rsid w:val="0097152E"/>
    <w:rsid w:val="00976E38"/>
    <w:rsid w:val="009C4376"/>
    <w:rsid w:val="009D2A46"/>
    <w:rsid w:val="00A10D57"/>
    <w:rsid w:val="00A510F0"/>
    <w:rsid w:val="00A603A1"/>
    <w:rsid w:val="00A61666"/>
    <w:rsid w:val="00A62F68"/>
    <w:rsid w:val="00A66168"/>
    <w:rsid w:val="00A93040"/>
    <w:rsid w:val="00AA1C65"/>
    <w:rsid w:val="00AB6756"/>
    <w:rsid w:val="00AD1F12"/>
    <w:rsid w:val="00B118D5"/>
    <w:rsid w:val="00B130A1"/>
    <w:rsid w:val="00B235CB"/>
    <w:rsid w:val="00B430CB"/>
    <w:rsid w:val="00B461F2"/>
    <w:rsid w:val="00B4686C"/>
    <w:rsid w:val="00B46886"/>
    <w:rsid w:val="00B72D80"/>
    <w:rsid w:val="00B803DC"/>
    <w:rsid w:val="00B92C14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61918"/>
    <w:rsid w:val="00C74DEA"/>
    <w:rsid w:val="00CA66DD"/>
    <w:rsid w:val="00CB3F31"/>
    <w:rsid w:val="00CC1599"/>
    <w:rsid w:val="00CC4665"/>
    <w:rsid w:val="00CF04F0"/>
    <w:rsid w:val="00D04A7E"/>
    <w:rsid w:val="00D12512"/>
    <w:rsid w:val="00D3284F"/>
    <w:rsid w:val="00D526A0"/>
    <w:rsid w:val="00D54A5C"/>
    <w:rsid w:val="00D851A3"/>
    <w:rsid w:val="00D8616E"/>
    <w:rsid w:val="00D92E27"/>
    <w:rsid w:val="00DF2B07"/>
    <w:rsid w:val="00E1128A"/>
    <w:rsid w:val="00E3125D"/>
    <w:rsid w:val="00E33004"/>
    <w:rsid w:val="00E3589B"/>
    <w:rsid w:val="00E5002D"/>
    <w:rsid w:val="00E52C89"/>
    <w:rsid w:val="00E54E28"/>
    <w:rsid w:val="00E83C98"/>
    <w:rsid w:val="00EA5BC0"/>
    <w:rsid w:val="00EB2A70"/>
    <w:rsid w:val="00EB5881"/>
    <w:rsid w:val="00EC26C2"/>
    <w:rsid w:val="00EE3C37"/>
    <w:rsid w:val="00F11600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A3990C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CE90-069F-4646-8A6F-C704435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2024-10-11T06:23:00Z</cp:lastPrinted>
  <dcterms:created xsi:type="dcterms:W3CDTF">2024-10-14T08:52:00Z</dcterms:created>
  <dcterms:modified xsi:type="dcterms:W3CDTF">2024-10-14T08:52:00Z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