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61" w:type="dxa"/>
        <w:jc w:val="center"/>
        <w:tblLayout w:type="fixed"/>
        <w:tblLook w:val="01E0" w:firstRow="1" w:lastRow="1" w:firstColumn="1" w:lastColumn="1" w:noHBand="0" w:noVBand="0"/>
      </w:tblPr>
      <w:tblGrid>
        <w:gridCol w:w="4175"/>
        <w:gridCol w:w="222"/>
        <w:gridCol w:w="990"/>
        <w:gridCol w:w="4374"/>
      </w:tblGrid>
      <w:tr w:rsidR="00DB1C49" w:rsidRPr="00385E91" w:rsidTr="00F52D92">
        <w:trPr>
          <w:cantSplit/>
          <w:trHeight w:val="20"/>
          <w:jc w:val="center"/>
        </w:trPr>
        <w:tc>
          <w:tcPr>
            <w:tcW w:w="4175" w:type="dxa"/>
            <w:shd w:val="clear" w:color="auto" w:fill="auto"/>
          </w:tcPr>
          <w:p w:rsidR="00DB1C49" w:rsidRPr="00D24827" w:rsidRDefault="00DB1C49" w:rsidP="00F030A8">
            <w:pPr>
              <w:widowControl w:val="0"/>
              <w:tabs>
                <w:tab w:val="left" w:pos="8447"/>
              </w:tabs>
              <w:autoSpaceDE w:val="0"/>
              <w:autoSpaceDN w:val="0"/>
              <w:adjustRightInd w:val="0"/>
              <w:spacing w:before="56"/>
              <w:jc w:val="right"/>
            </w:pPr>
          </w:p>
        </w:tc>
        <w:tc>
          <w:tcPr>
            <w:tcW w:w="1212" w:type="dxa"/>
            <w:gridSpan w:val="2"/>
            <w:shd w:val="clear" w:color="auto" w:fill="auto"/>
          </w:tcPr>
          <w:p w:rsidR="00DB1C49" w:rsidRPr="00385E91" w:rsidRDefault="00DB1C49" w:rsidP="00F030A8">
            <w:pPr>
              <w:widowControl w:val="0"/>
              <w:tabs>
                <w:tab w:val="left" w:pos="8447"/>
              </w:tabs>
              <w:autoSpaceDE w:val="0"/>
              <w:autoSpaceDN w:val="0"/>
              <w:adjustRightInd w:val="0"/>
              <w:jc w:val="center"/>
            </w:pPr>
            <w:r w:rsidRPr="00385E91">
              <w:rPr>
                <w:noProof/>
                <w:lang w:eastAsia="uk-UA"/>
              </w:rPr>
              <w:drawing>
                <wp:inline distT="0" distB="0" distL="0" distR="0">
                  <wp:extent cx="431800" cy="592455"/>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592455"/>
                          </a:xfrm>
                          <a:prstGeom prst="rect">
                            <a:avLst/>
                          </a:prstGeom>
                          <a:noFill/>
                          <a:ln>
                            <a:noFill/>
                          </a:ln>
                        </pic:spPr>
                      </pic:pic>
                    </a:graphicData>
                  </a:graphic>
                </wp:inline>
              </w:drawing>
            </w:r>
          </w:p>
        </w:tc>
        <w:tc>
          <w:tcPr>
            <w:tcW w:w="4374" w:type="dxa"/>
            <w:shd w:val="clear" w:color="auto" w:fill="auto"/>
          </w:tcPr>
          <w:p w:rsidR="00737E62" w:rsidRPr="00385E91" w:rsidRDefault="00F52D92" w:rsidP="003B5D37">
            <w:pPr>
              <w:widowControl w:val="0"/>
              <w:tabs>
                <w:tab w:val="center" w:pos="4677"/>
                <w:tab w:val="right" w:pos="9355"/>
              </w:tabs>
              <w:autoSpaceDE w:val="0"/>
              <w:autoSpaceDN w:val="0"/>
              <w:adjustRightInd w:val="0"/>
              <w:ind w:firstLine="318"/>
            </w:pPr>
            <w:r w:rsidRPr="00385E91">
              <w:t xml:space="preserve">                        </w:t>
            </w:r>
          </w:p>
        </w:tc>
      </w:tr>
      <w:tr w:rsidR="00DB1C49" w:rsidRPr="00385E91" w:rsidTr="00F52D92">
        <w:trPr>
          <w:jc w:val="center"/>
        </w:trPr>
        <w:tc>
          <w:tcPr>
            <w:tcW w:w="9761" w:type="dxa"/>
            <w:gridSpan w:val="4"/>
            <w:shd w:val="clear" w:color="auto" w:fill="auto"/>
          </w:tcPr>
          <w:p w:rsidR="00F52D92" w:rsidRPr="00385E91" w:rsidRDefault="00F52D92" w:rsidP="00F52D92">
            <w:pPr>
              <w:keepNext/>
              <w:jc w:val="center"/>
              <w:outlineLvl w:val="1"/>
              <w:rPr>
                <w:sz w:val="36"/>
              </w:rPr>
            </w:pPr>
            <w:r w:rsidRPr="00385E91">
              <w:rPr>
                <w:sz w:val="36"/>
              </w:rPr>
              <w:t>Сумська міська рада</w:t>
            </w:r>
          </w:p>
          <w:p w:rsidR="00F52D92" w:rsidRPr="00385E91" w:rsidRDefault="00F52D92" w:rsidP="00F52D92">
            <w:pPr>
              <w:keepNext/>
              <w:jc w:val="center"/>
              <w:outlineLvl w:val="3"/>
            </w:pPr>
            <w:r w:rsidRPr="00385E91">
              <w:rPr>
                <w:sz w:val="36"/>
                <w:szCs w:val="36"/>
              </w:rPr>
              <w:t>Виконавчий комітет</w:t>
            </w:r>
          </w:p>
          <w:p w:rsidR="00DB1C49" w:rsidRPr="00385E91" w:rsidRDefault="00F52D92" w:rsidP="00F52D92">
            <w:pPr>
              <w:pStyle w:val="a7"/>
              <w:jc w:val="center"/>
              <w:outlineLvl w:val="0"/>
              <w:rPr>
                <w:sz w:val="40"/>
                <w:szCs w:val="40"/>
              </w:rPr>
            </w:pPr>
            <w:r w:rsidRPr="00385E91">
              <w:rPr>
                <w:sz w:val="36"/>
                <w:szCs w:val="36"/>
              </w:rPr>
              <w:t>РІШЕННЯ</w:t>
            </w:r>
          </w:p>
        </w:tc>
      </w:tr>
      <w:tr w:rsidR="00B57FDF" w:rsidRPr="00385E91" w:rsidTr="00F52D92">
        <w:tblPrEx>
          <w:jc w:val="left"/>
        </w:tblPrEx>
        <w:trPr>
          <w:gridAfter w:val="2"/>
          <w:wAfter w:w="5364" w:type="dxa"/>
          <w:trHeight w:val="1352"/>
        </w:trPr>
        <w:tc>
          <w:tcPr>
            <w:tcW w:w="4397" w:type="dxa"/>
            <w:gridSpan w:val="2"/>
          </w:tcPr>
          <w:p w:rsidR="00F52D92" w:rsidRPr="00385E91" w:rsidRDefault="00F52D92" w:rsidP="00F62089">
            <w:pPr>
              <w:rPr>
                <w:shd w:val="clear" w:color="auto" w:fill="FFFFFF"/>
              </w:rPr>
            </w:pPr>
          </w:p>
          <w:p w:rsidR="00F52D92" w:rsidRPr="00385E91" w:rsidRDefault="00F52D92" w:rsidP="00F62089">
            <w:pPr>
              <w:rPr>
                <w:kern w:val="2"/>
              </w:rPr>
            </w:pPr>
            <w:r w:rsidRPr="00385E91">
              <w:rPr>
                <w:kern w:val="2"/>
              </w:rPr>
              <w:t xml:space="preserve">від </w:t>
            </w:r>
            <w:r w:rsidR="00BB63DF">
              <w:rPr>
                <w:kern w:val="2"/>
              </w:rPr>
              <w:t xml:space="preserve"> 29. 01.2026</w:t>
            </w:r>
            <w:r w:rsidRPr="00385E91">
              <w:rPr>
                <w:kern w:val="2"/>
              </w:rPr>
              <w:t xml:space="preserve"> </w:t>
            </w:r>
            <w:r w:rsidR="0021573C" w:rsidRPr="00385E91">
              <w:rPr>
                <w:kern w:val="2"/>
              </w:rPr>
              <w:t xml:space="preserve">    </w:t>
            </w:r>
            <w:r w:rsidRPr="00385E91">
              <w:rPr>
                <w:kern w:val="2"/>
              </w:rPr>
              <w:t xml:space="preserve">№ </w:t>
            </w:r>
            <w:r w:rsidR="0021573C" w:rsidRPr="00385E91">
              <w:rPr>
                <w:kern w:val="2"/>
              </w:rPr>
              <w:t xml:space="preserve">   </w:t>
            </w:r>
            <w:r w:rsidR="00BB63DF">
              <w:rPr>
                <w:kern w:val="2"/>
              </w:rPr>
              <w:t>411</w:t>
            </w:r>
            <w:r w:rsidR="0021573C" w:rsidRPr="00385E91">
              <w:rPr>
                <w:kern w:val="2"/>
              </w:rPr>
              <w:t xml:space="preserve">                    </w:t>
            </w:r>
          </w:p>
          <w:p w:rsidR="00F52D92" w:rsidRPr="00385E91" w:rsidRDefault="00F52D92" w:rsidP="00F62089">
            <w:pPr>
              <w:rPr>
                <w:kern w:val="2"/>
              </w:rPr>
            </w:pPr>
          </w:p>
          <w:p w:rsidR="00B57FDF" w:rsidRPr="00385E91" w:rsidRDefault="00641040" w:rsidP="0012510C">
            <w:pPr>
              <w:rPr>
                <w:b/>
                <w:color w:val="FF0000"/>
                <w:u w:val="single"/>
              </w:rPr>
            </w:pPr>
            <w:r w:rsidRPr="00385E91">
              <w:rPr>
                <w:b/>
              </w:rPr>
              <w:t xml:space="preserve">Про затвердження </w:t>
            </w:r>
            <w:bookmarkStart w:id="0" w:name="_Hlk212138620"/>
            <w:r w:rsidRPr="00385E91">
              <w:rPr>
                <w:b/>
              </w:rPr>
              <w:t xml:space="preserve">Порядку розподілу коштів </w:t>
            </w:r>
            <w:r w:rsidR="0012510C" w:rsidRPr="00385E91">
              <w:rPr>
                <w:b/>
              </w:rPr>
              <w:t xml:space="preserve">бюджету Сумської  міської територіальної громади </w:t>
            </w:r>
            <w:r w:rsidRPr="00385E91">
              <w:rPr>
                <w:b/>
              </w:rPr>
              <w:t>на підготовку та реаліза</w:t>
            </w:r>
            <w:r w:rsidR="00612DB7" w:rsidRPr="00385E91">
              <w:rPr>
                <w:b/>
              </w:rPr>
              <w:t xml:space="preserve">цію публічних інвестиційних </w:t>
            </w:r>
            <w:proofErr w:type="spellStart"/>
            <w:r w:rsidR="00612DB7" w:rsidRPr="00385E91">
              <w:rPr>
                <w:b/>
              </w:rPr>
              <w:t>проє</w:t>
            </w:r>
            <w:r w:rsidRPr="00385E91">
              <w:rPr>
                <w:b/>
              </w:rPr>
              <w:t>ктів</w:t>
            </w:r>
            <w:proofErr w:type="spellEnd"/>
            <w:r w:rsidRPr="00385E91">
              <w:rPr>
                <w:b/>
              </w:rPr>
              <w:t xml:space="preserve"> та програм публічних інвестицій </w:t>
            </w:r>
            <w:bookmarkEnd w:id="0"/>
          </w:p>
        </w:tc>
      </w:tr>
    </w:tbl>
    <w:p w:rsidR="00B57FDF" w:rsidRPr="00385E91" w:rsidRDefault="00B57FDF" w:rsidP="00F64B6F">
      <w:pPr>
        <w:autoSpaceDE w:val="0"/>
        <w:ind w:firstLine="709"/>
      </w:pPr>
    </w:p>
    <w:p w:rsidR="00641040" w:rsidRPr="00385E91" w:rsidRDefault="00641040" w:rsidP="00641040">
      <w:pPr>
        <w:autoSpaceDE w:val="0"/>
        <w:autoSpaceDN w:val="0"/>
        <w:adjustRightInd w:val="0"/>
        <w:ind w:firstLine="708"/>
      </w:pPr>
      <w:r w:rsidRPr="00385E91">
        <w:t xml:space="preserve">З метою розподілу коштів бюджету Сумської міської територіальної громади на підготовку та реалізацію публічних інвестицій, відповідно </w:t>
      </w:r>
      <w:r w:rsidR="00A31C7E" w:rsidRPr="00385E91">
        <w:t xml:space="preserve">до частини </w:t>
      </w:r>
      <w:r w:rsidR="00961D46" w:rsidRPr="00385E91">
        <w:t>п’ятої</w:t>
      </w:r>
      <w:r w:rsidRPr="00385E91">
        <w:t xml:space="preserve"> статті 75</w:t>
      </w:r>
      <w:r w:rsidR="00A31C7E" w:rsidRPr="00385E91">
        <w:rPr>
          <w:vertAlign w:val="superscript"/>
        </w:rPr>
        <w:t xml:space="preserve">2 </w:t>
      </w:r>
      <w:r w:rsidRPr="00385E91">
        <w:t xml:space="preserve">Бюджетного кодексу України, </w:t>
      </w:r>
      <w:r w:rsidR="00A31C7E" w:rsidRPr="00385E91">
        <w:t>враховуючи</w:t>
      </w:r>
      <w:r w:rsidRPr="00385E91">
        <w:t xml:space="preserve"> Постанов</w:t>
      </w:r>
      <w:r w:rsidR="00A31C7E" w:rsidRPr="00385E91">
        <w:t xml:space="preserve">у </w:t>
      </w:r>
      <w:r w:rsidRPr="00385E91">
        <w:t>Кабінету Міністрів України від 28.02.2025 № 232 «Деякі питання розподіл</w:t>
      </w:r>
      <w:r w:rsidR="00A31C7E" w:rsidRPr="00385E91">
        <w:t>у публічних інвестицій», наказ</w:t>
      </w:r>
      <w:r w:rsidRPr="00385E91">
        <w:t xml:space="preserve"> Міністерства фінансів України від </w:t>
      </w:r>
      <w:r w:rsidR="00961D46" w:rsidRPr="00385E91">
        <w:t xml:space="preserve">                                          </w:t>
      </w:r>
      <w:r w:rsidRPr="00385E91">
        <w:t>22 вересня</w:t>
      </w:r>
      <w:r w:rsidR="00961D46" w:rsidRPr="00385E91">
        <w:t xml:space="preserve"> </w:t>
      </w:r>
      <w:r w:rsidRPr="00385E91">
        <w:t>2025 року № 480 «Про затвердження Методичних рекомендацій щодо розподілу коштів місцевого бюджету на підготовку та реалізацію публічних інвестиційних проектів та програм публічних інвестицій», керуючись частиною першою</w:t>
      </w:r>
      <w:r w:rsidR="00961D46" w:rsidRPr="00385E91">
        <w:t xml:space="preserve"> </w:t>
      </w:r>
      <w:r w:rsidRPr="00385E91">
        <w:t xml:space="preserve">статті 52 Закону України «Про місцеве самоврядування в Україні», </w:t>
      </w:r>
      <w:r w:rsidRPr="00385E91">
        <w:rPr>
          <w:b/>
          <w:bCs/>
        </w:rPr>
        <w:t>виконавчий комітет Сумської міської ради</w:t>
      </w:r>
      <w:r w:rsidRPr="00385E91">
        <w:t xml:space="preserve">: </w:t>
      </w:r>
    </w:p>
    <w:p w:rsidR="00F52D92" w:rsidRPr="00385E91" w:rsidRDefault="00F52D92" w:rsidP="00641040">
      <w:pPr>
        <w:spacing w:after="120"/>
        <w:ind w:firstLine="567"/>
        <w:rPr>
          <w:b/>
          <w:bCs/>
        </w:rPr>
      </w:pPr>
    </w:p>
    <w:p w:rsidR="00F52D92" w:rsidRPr="00385E91" w:rsidRDefault="00F52D92" w:rsidP="00F52D92">
      <w:pPr>
        <w:spacing w:after="120"/>
        <w:jc w:val="center"/>
        <w:rPr>
          <w:b/>
          <w:bCs/>
        </w:rPr>
      </w:pPr>
      <w:r w:rsidRPr="00385E91">
        <w:rPr>
          <w:b/>
          <w:bCs/>
        </w:rPr>
        <w:t>ВИРІШИВ:</w:t>
      </w:r>
    </w:p>
    <w:p w:rsidR="000B4AC6" w:rsidRPr="00385E91" w:rsidRDefault="000B4AC6" w:rsidP="00F52D92">
      <w:pPr>
        <w:spacing w:after="120"/>
        <w:jc w:val="center"/>
        <w:rPr>
          <w:b/>
          <w:bCs/>
        </w:rPr>
      </w:pPr>
    </w:p>
    <w:p w:rsidR="00642904" w:rsidRPr="00385E91" w:rsidRDefault="00642904" w:rsidP="00A31C7E">
      <w:pPr>
        <w:pStyle w:val="rvps24"/>
        <w:numPr>
          <w:ilvl w:val="0"/>
          <w:numId w:val="15"/>
        </w:numPr>
        <w:shd w:val="clear" w:color="auto" w:fill="FFFFFF"/>
        <w:tabs>
          <w:tab w:val="left" w:pos="993"/>
        </w:tabs>
        <w:spacing w:before="0" w:beforeAutospacing="0" w:after="0" w:afterAutospacing="0"/>
        <w:ind w:left="0" w:firstLine="567"/>
        <w:jc w:val="both"/>
        <w:rPr>
          <w:rStyle w:val="rvts8"/>
          <w:sz w:val="28"/>
          <w:szCs w:val="28"/>
        </w:rPr>
      </w:pPr>
      <w:r w:rsidRPr="00385E91">
        <w:rPr>
          <w:rStyle w:val="rvts8"/>
          <w:sz w:val="28"/>
          <w:szCs w:val="28"/>
        </w:rPr>
        <w:t>Затвердити Порядок розподілу коштів бюджету Сумської міської територіальної громади на підготовку та реалізацію публічних інвестиційних проектів та програм публі</w:t>
      </w:r>
      <w:r w:rsidR="00961D46" w:rsidRPr="00385E91">
        <w:rPr>
          <w:rStyle w:val="rvts8"/>
          <w:sz w:val="28"/>
          <w:szCs w:val="28"/>
        </w:rPr>
        <w:t xml:space="preserve">чних інвестицій згідно додатком </w:t>
      </w:r>
      <w:r w:rsidR="00432DBA" w:rsidRPr="00385E91">
        <w:rPr>
          <w:rStyle w:val="rvts8"/>
          <w:sz w:val="28"/>
          <w:szCs w:val="28"/>
        </w:rPr>
        <w:t xml:space="preserve">до </w:t>
      </w:r>
      <w:r w:rsidR="00961D46" w:rsidRPr="00385E91">
        <w:rPr>
          <w:rStyle w:val="rvts8"/>
          <w:sz w:val="28"/>
          <w:szCs w:val="28"/>
        </w:rPr>
        <w:t>цього рішення.</w:t>
      </w:r>
    </w:p>
    <w:p w:rsidR="00A31C7E" w:rsidRPr="00385E91" w:rsidRDefault="00A31C7E" w:rsidP="00A31C7E">
      <w:pPr>
        <w:pStyle w:val="rvps24"/>
        <w:numPr>
          <w:ilvl w:val="0"/>
          <w:numId w:val="15"/>
        </w:numPr>
        <w:shd w:val="clear" w:color="auto" w:fill="FFFFFF"/>
        <w:tabs>
          <w:tab w:val="left" w:pos="993"/>
        </w:tabs>
        <w:spacing w:before="0" w:beforeAutospacing="0" w:after="0" w:afterAutospacing="0"/>
        <w:ind w:left="0" w:firstLine="567"/>
        <w:jc w:val="both"/>
        <w:rPr>
          <w:rStyle w:val="rvts8"/>
          <w:sz w:val="28"/>
          <w:szCs w:val="28"/>
        </w:rPr>
      </w:pPr>
      <w:r w:rsidRPr="00385E91">
        <w:rPr>
          <w:rStyle w:val="rvts8"/>
          <w:sz w:val="28"/>
          <w:szCs w:val="28"/>
        </w:rPr>
        <w:t>Організацію виконання даного рішення покласти на директора Департаменту фінансів Сумської міської ради Ларису СКИРТАЧ.</w:t>
      </w:r>
    </w:p>
    <w:p w:rsidR="00642904" w:rsidRPr="00385E91" w:rsidRDefault="00A31C7E" w:rsidP="00642904">
      <w:pPr>
        <w:pStyle w:val="rvps26"/>
        <w:shd w:val="clear" w:color="auto" w:fill="FFFFFF"/>
        <w:tabs>
          <w:tab w:val="left" w:pos="993"/>
        </w:tabs>
        <w:spacing w:before="0" w:beforeAutospacing="0" w:after="0" w:afterAutospacing="0"/>
        <w:ind w:firstLine="567"/>
        <w:jc w:val="both"/>
        <w:rPr>
          <w:rStyle w:val="rvts8"/>
          <w:sz w:val="28"/>
          <w:szCs w:val="28"/>
        </w:rPr>
      </w:pPr>
      <w:r w:rsidRPr="00385E91">
        <w:rPr>
          <w:rStyle w:val="rvts8"/>
          <w:sz w:val="28"/>
          <w:szCs w:val="28"/>
        </w:rPr>
        <w:t>3</w:t>
      </w:r>
      <w:r w:rsidR="00642904" w:rsidRPr="00385E91">
        <w:rPr>
          <w:rStyle w:val="rvts8"/>
          <w:sz w:val="28"/>
          <w:szCs w:val="28"/>
        </w:rPr>
        <w:t xml:space="preserve">. </w:t>
      </w:r>
      <w:r w:rsidR="00642904" w:rsidRPr="00385E91">
        <w:rPr>
          <w:sz w:val="28"/>
          <w:szCs w:val="28"/>
          <w:shd w:val="clear" w:color="auto" w:fill="FFFFFF"/>
        </w:rPr>
        <w:t xml:space="preserve">Контроль за виконанням даного рішення </w:t>
      </w:r>
      <w:r w:rsidRPr="00385E91">
        <w:rPr>
          <w:sz w:val="28"/>
          <w:szCs w:val="28"/>
          <w:shd w:val="clear" w:color="auto" w:fill="FFFFFF"/>
        </w:rPr>
        <w:t xml:space="preserve">покласти </w:t>
      </w:r>
      <w:r w:rsidR="00927540" w:rsidRPr="00385E91">
        <w:rPr>
          <w:sz w:val="28"/>
          <w:szCs w:val="28"/>
          <w:shd w:val="clear" w:color="auto" w:fill="FFFFFF"/>
        </w:rPr>
        <w:t xml:space="preserve">на </w:t>
      </w:r>
      <w:r w:rsidRPr="00385E91">
        <w:rPr>
          <w:sz w:val="28"/>
          <w:szCs w:val="28"/>
          <w:shd w:val="clear" w:color="auto" w:fill="FFFFFF"/>
        </w:rPr>
        <w:t>першого заступника міського голови Леоніда НІКОЛАЄНКА</w:t>
      </w:r>
      <w:r w:rsidR="009E025D" w:rsidRPr="00385E91">
        <w:rPr>
          <w:sz w:val="28"/>
          <w:szCs w:val="28"/>
          <w:shd w:val="clear" w:color="auto" w:fill="FFFFFF"/>
        </w:rPr>
        <w:t>.</w:t>
      </w:r>
    </w:p>
    <w:p w:rsidR="00F64B6F" w:rsidRPr="00385E91" w:rsidRDefault="00F64B6F" w:rsidP="00642904"/>
    <w:p w:rsidR="00424041" w:rsidRPr="00385E91" w:rsidRDefault="00424041" w:rsidP="00F64B6F"/>
    <w:p w:rsidR="00F64B6F" w:rsidRPr="00385E91" w:rsidRDefault="00F64B6F" w:rsidP="00F64B6F"/>
    <w:p w:rsidR="00F52D92" w:rsidRPr="00385E91" w:rsidRDefault="00957080" w:rsidP="000B4AC6">
      <w:pPr>
        <w:rPr>
          <w:kern w:val="32"/>
        </w:rPr>
      </w:pPr>
      <w:r w:rsidRPr="00385E91">
        <w:rPr>
          <w:b/>
        </w:rPr>
        <w:t>Секретар Сумської міської ради</w:t>
      </w:r>
      <w:r w:rsidRPr="00385E91">
        <w:rPr>
          <w:b/>
        </w:rPr>
        <w:tab/>
      </w:r>
      <w:r w:rsidRPr="00385E91">
        <w:rPr>
          <w:b/>
        </w:rPr>
        <w:tab/>
      </w:r>
      <w:r w:rsidRPr="00385E91">
        <w:rPr>
          <w:b/>
        </w:rPr>
        <w:tab/>
      </w:r>
      <w:r w:rsidRPr="00385E91">
        <w:rPr>
          <w:b/>
        </w:rPr>
        <w:tab/>
      </w:r>
      <w:r w:rsidRPr="00385E91">
        <w:rPr>
          <w:b/>
        </w:rPr>
        <w:tab/>
      </w:r>
      <w:r w:rsidRPr="00385E91">
        <w:rPr>
          <w:b/>
        </w:rPr>
        <w:tab/>
        <w:t>А.М. КОЗБАР</w:t>
      </w:r>
    </w:p>
    <w:p w:rsidR="00F52D92" w:rsidRPr="00385E91" w:rsidRDefault="00961D46" w:rsidP="00F52D92">
      <w:pPr>
        <w:keepNext/>
        <w:pBdr>
          <w:bottom w:val="single" w:sz="12" w:space="1" w:color="auto"/>
        </w:pBdr>
        <w:tabs>
          <w:tab w:val="left" w:pos="403"/>
        </w:tabs>
        <w:outlineLvl w:val="0"/>
        <w:rPr>
          <w:kern w:val="32"/>
          <w:sz w:val="24"/>
          <w:szCs w:val="24"/>
        </w:rPr>
      </w:pPr>
      <w:r w:rsidRPr="00385E91">
        <w:rPr>
          <w:kern w:val="32"/>
          <w:sz w:val="24"/>
          <w:szCs w:val="24"/>
        </w:rPr>
        <w:t>Якимович О.В</w:t>
      </w:r>
      <w:r w:rsidR="003B5D37" w:rsidRPr="00385E91">
        <w:rPr>
          <w:kern w:val="32"/>
          <w:sz w:val="24"/>
          <w:szCs w:val="24"/>
        </w:rPr>
        <w:t>.</w:t>
      </w:r>
      <w:r w:rsidR="00F52D92" w:rsidRPr="00385E91">
        <w:rPr>
          <w:kern w:val="32"/>
          <w:sz w:val="24"/>
          <w:szCs w:val="24"/>
        </w:rPr>
        <w:t>, 700-</w:t>
      </w:r>
      <w:r w:rsidR="00561DCA" w:rsidRPr="00385E91">
        <w:rPr>
          <w:kern w:val="32"/>
          <w:sz w:val="24"/>
          <w:szCs w:val="24"/>
        </w:rPr>
        <w:t>399</w:t>
      </w:r>
    </w:p>
    <w:p w:rsidR="00F52D92" w:rsidRPr="00385E91" w:rsidRDefault="00F52D92" w:rsidP="00F52D92">
      <w:pPr>
        <w:tabs>
          <w:tab w:val="left" w:pos="403"/>
        </w:tabs>
        <w:rPr>
          <w:sz w:val="22"/>
          <w:szCs w:val="22"/>
        </w:rPr>
      </w:pPr>
      <w:r w:rsidRPr="00385E91">
        <w:rPr>
          <w:sz w:val="22"/>
          <w:szCs w:val="22"/>
        </w:rPr>
        <w:t>Розіслати</w:t>
      </w:r>
      <w:r w:rsidR="00717005" w:rsidRPr="00385E91">
        <w:rPr>
          <w:sz w:val="22"/>
          <w:szCs w:val="22"/>
        </w:rPr>
        <w:t>:</w:t>
      </w:r>
      <w:r w:rsidRPr="00385E91">
        <w:rPr>
          <w:sz w:val="22"/>
          <w:szCs w:val="22"/>
        </w:rPr>
        <w:t xml:space="preserve"> згідно зі списком розсилки</w:t>
      </w:r>
    </w:p>
    <w:tbl>
      <w:tblPr>
        <w:tblW w:w="0" w:type="auto"/>
        <w:tblInd w:w="6062" w:type="dxa"/>
        <w:tblLook w:val="04A0" w:firstRow="1" w:lastRow="0" w:firstColumn="1" w:lastColumn="0" w:noHBand="0" w:noVBand="1"/>
      </w:tblPr>
      <w:tblGrid>
        <w:gridCol w:w="3292"/>
      </w:tblGrid>
      <w:tr w:rsidR="00136690" w:rsidRPr="00385E91" w:rsidTr="000D6A38">
        <w:tc>
          <w:tcPr>
            <w:tcW w:w="3292" w:type="dxa"/>
          </w:tcPr>
          <w:p w:rsidR="00D247A4" w:rsidRPr="00385E91" w:rsidRDefault="00D247A4" w:rsidP="000D6A38"/>
          <w:p w:rsidR="00136690" w:rsidRPr="00385E91" w:rsidRDefault="00136690" w:rsidP="000D6A38">
            <w:r w:rsidRPr="00385E91">
              <w:lastRenderedPageBreak/>
              <w:t>Додаток</w:t>
            </w:r>
            <w:r w:rsidR="00642904" w:rsidRPr="00385E91">
              <w:t xml:space="preserve"> </w:t>
            </w:r>
          </w:p>
          <w:p w:rsidR="00136690" w:rsidRPr="00385E91" w:rsidRDefault="00136690" w:rsidP="000D6A38">
            <w:r w:rsidRPr="00385E91">
              <w:t>до рішення виконавчого комітету</w:t>
            </w:r>
          </w:p>
          <w:p w:rsidR="00136690" w:rsidRPr="00385E91" w:rsidRDefault="00136690" w:rsidP="00BB63DF">
            <w:r w:rsidRPr="00385E91">
              <w:t xml:space="preserve">від </w:t>
            </w:r>
            <w:r w:rsidR="00BB63DF">
              <w:t>29.01.2026</w:t>
            </w:r>
            <w:r w:rsidR="008D7983" w:rsidRPr="00385E91">
              <w:t xml:space="preserve">   </w:t>
            </w:r>
            <w:r w:rsidRPr="00385E91">
              <w:t>№</w:t>
            </w:r>
            <w:r w:rsidR="00BB63DF">
              <w:t xml:space="preserve"> 411</w:t>
            </w:r>
            <w:bookmarkStart w:id="1" w:name="_GoBack"/>
            <w:bookmarkEnd w:id="1"/>
            <w:r w:rsidRPr="00385E91">
              <w:t xml:space="preserve"> </w:t>
            </w:r>
          </w:p>
        </w:tc>
      </w:tr>
    </w:tbl>
    <w:p w:rsidR="00642904" w:rsidRPr="00385E91" w:rsidRDefault="00642904" w:rsidP="00642904">
      <w:pPr>
        <w:rPr>
          <w:b/>
          <w:szCs w:val="27"/>
        </w:rPr>
      </w:pPr>
    </w:p>
    <w:p w:rsidR="00E0622A" w:rsidRPr="00385E91" w:rsidRDefault="00E0622A" w:rsidP="00642904">
      <w:pPr>
        <w:rPr>
          <w:b/>
          <w:szCs w:val="27"/>
        </w:rPr>
      </w:pPr>
    </w:p>
    <w:p w:rsidR="0070439A" w:rsidRPr="00385E91" w:rsidRDefault="0070439A" w:rsidP="00642904">
      <w:pPr>
        <w:rPr>
          <w:b/>
          <w:szCs w:val="27"/>
        </w:rPr>
      </w:pPr>
    </w:p>
    <w:p w:rsidR="00642904" w:rsidRPr="00385E91" w:rsidRDefault="00642904" w:rsidP="00642904">
      <w:pPr>
        <w:jc w:val="center"/>
        <w:rPr>
          <w:b/>
          <w:szCs w:val="27"/>
        </w:rPr>
      </w:pPr>
      <w:r w:rsidRPr="00385E91">
        <w:rPr>
          <w:b/>
          <w:szCs w:val="27"/>
        </w:rPr>
        <w:t>ПОРЯДОК</w:t>
      </w:r>
    </w:p>
    <w:p w:rsidR="0012510C" w:rsidRPr="00385E91" w:rsidRDefault="00642904" w:rsidP="0012510C">
      <w:pPr>
        <w:jc w:val="center"/>
        <w:rPr>
          <w:b/>
          <w:szCs w:val="27"/>
        </w:rPr>
      </w:pPr>
      <w:r w:rsidRPr="00385E91">
        <w:rPr>
          <w:b/>
        </w:rPr>
        <w:t xml:space="preserve">розподілу коштів </w:t>
      </w:r>
      <w:r w:rsidR="0012510C" w:rsidRPr="00385E91">
        <w:rPr>
          <w:b/>
        </w:rPr>
        <w:t xml:space="preserve">бюджету </w:t>
      </w:r>
      <w:r w:rsidR="0012510C" w:rsidRPr="00385E91">
        <w:rPr>
          <w:b/>
          <w:szCs w:val="27"/>
        </w:rPr>
        <w:t>Сумської міської територіальної громади</w:t>
      </w:r>
    </w:p>
    <w:p w:rsidR="00642904" w:rsidRPr="00385E91" w:rsidRDefault="00642904" w:rsidP="00642904">
      <w:pPr>
        <w:jc w:val="center"/>
        <w:rPr>
          <w:b/>
        </w:rPr>
      </w:pPr>
      <w:r w:rsidRPr="00385E91">
        <w:rPr>
          <w:b/>
        </w:rPr>
        <w:t xml:space="preserve">на підготовку та реалізацію публічних </w:t>
      </w:r>
    </w:p>
    <w:p w:rsidR="00642904" w:rsidRPr="00385E91" w:rsidRDefault="00D24827" w:rsidP="00642904">
      <w:pPr>
        <w:jc w:val="center"/>
        <w:rPr>
          <w:b/>
        </w:rPr>
      </w:pPr>
      <w:r w:rsidRPr="00385E91">
        <w:rPr>
          <w:b/>
        </w:rPr>
        <w:t xml:space="preserve">інвестиційних </w:t>
      </w:r>
      <w:proofErr w:type="spellStart"/>
      <w:r w:rsidRPr="00385E91">
        <w:rPr>
          <w:b/>
        </w:rPr>
        <w:t>проє</w:t>
      </w:r>
      <w:r w:rsidR="00642904" w:rsidRPr="00385E91">
        <w:rPr>
          <w:b/>
        </w:rPr>
        <w:t>ктів</w:t>
      </w:r>
      <w:proofErr w:type="spellEnd"/>
      <w:r w:rsidR="00642904" w:rsidRPr="00385E91">
        <w:rPr>
          <w:b/>
        </w:rPr>
        <w:t xml:space="preserve"> та програм публічних інвестицій </w:t>
      </w:r>
    </w:p>
    <w:p w:rsidR="00642904" w:rsidRPr="00385E91" w:rsidRDefault="00642904" w:rsidP="00642904">
      <w:pPr>
        <w:ind w:firstLine="567"/>
        <w:rPr>
          <w:sz w:val="16"/>
          <w:szCs w:val="16"/>
        </w:rPr>
      </w:pPr>
    </w:p>
    <w:p w:rsidR="00E0622A" w:rsidRPr="00385E91" w:rsidRDefault="00E0622A" w:rsidP="00B401F6">
      <w:pPr>
        <w:ind w:firstLine="567"/>
        <w:jc w:val="center"/>
        <w:rPr>
          <w:b/>
          <w:szCs w:val="20"/>
        </w:rPr>
      </w:pPr>
    </w:p>
    <w:p w:rsidR="00B401F6" w:rsidRPr="00385E91" w:rsidRDefault="00B401F6" w:rsidP="00B401F6">
      <w:pPr>
        <w:ind w:firstLine="567"/>
        <w:jc w:val="center"/>
        <w:rPr>
          <w:b/>
          <w:szCs w:val="20"/>
        </w:rPr>
      </w:pPr>
      <w:r w:rsidRPr="00385E91">
        <w:rPr>
          <w:b/>
          <w:szCs w:val="20"/>
        </w:rPr>
        <w:t>І. Загальні положення</w:t>
      </w:r>
    </w:p>
    <w:p w:rsidR="0012510C" w:rsidRPr="00385E91" w:rsidRDefault="0012510C" w:rsidP="00B401F6">
      <w:pPr>
        <w:ind w:firstLine="567"/>
        <w:jc w:val="center"/>
        <w:rPr>
          <w:b/>
          <w:sz w:val="16"/>
          <w:szCs w:val="16"/>
        </w:rPr>
      </w:pPr>
    </w:p>
    <w:p w:rsidR="00642904" w:rsidRPr="00385E91" w:rsidRDefault="00642904" w:rsidP="00642904">
      <w:pPr>
        <w:ind w:firstLine="567"/>
        <w:rPr>
          <w:szCs w:val="20"/>
        </w:rPr>
      </w:pPr>
      <w:r w:rsidRPr="00385E91">
        <w:rPr>
          <w:szCs w:val="20"/>
        </w:rPr>
        <w:t xml:space="preserve">1. Цей Порядок визначає механізм розподілу коштів бюджету </w:t>
      </w:r>
      <w:r w:rsidR="00FE6EAE" w:rsidRPr="00385E91">
        <w:rPr>
          <w:szCs w:val="20"/>
        </w:rPr>
        <w:t xml:space="preserve">Сумської </w:t>
      </w:r>
      <w:r w:rsidRPr="00385E91">
        <w:rPr>
          <w:szCs w:val="20"/>
        </w:rPr>
        <w:t>міської територіальної громади на підготовку та реаліза</w:t>
      </w:r>
      <w:r w:rsidR="002760E4" w:rsidRPr="00385E91">
        <w:rPr>
          <w:szCs w:val="20"/>
        </w:rPr>
        <w:t xml:space="preserve">цію публічних інвестиційних </w:t>
      </w:r>
      <w:proofErr w:type="spellStart"/>
      <w:r w:rsidR="002760E4" w:rsidRPr="00385E91">
        <w:rPr>
          <w:szCs w:val="20"/>
        </w:rPr>
        <w:t>проє</w:t>
      </w:r>
      <w:r w:rsidRPr="00385E91">
        <w:rPr>
          <w:szCs w:val="20"/>
        </w:rPr>
        <w:t>ктів</w:t>
      </w:r>
      <w:proofErr w:type="spellEnd"/>
      <w:r w:rsidRPr="00385E91">
        <w:rPr>
          <w:szCs w:val="20"/>
        </w:rPr>
        <w:t xml:space="preserve"> т</w:t>
      </w:r>
      <w:r w:rsidR="005A4C02" w:rsidRPr="00385E91">
        <w:rPr>
          <w:szCs w:val="20"/>
        </w:rPr>
        <w:t>а програм публічних інвестицій Є</w:t>
      </w:r>
      <w:r w:rsidRPr="00385E91">
        <w:rPr>
          <w:szCs w:val="20"/>
        </w:rPr>
        <w:t>д</w:t>
      </w:r>
      <w:r w:rsidR="002760E4" w:rsidRPr="00385E91">
        <w:rPr>
          <w:szCs w:val="20"/>
        </w:rPr>
        <w:t xml:space="preserve">иного </w:t>
      </w:r>
      <w:proofErr w:type="spellStart"/>
      <w:r w:rsidR="002760E4" w:rsidRPr="00385E91">
        <w:rPr>
          <w:szCs w:val="20"/>
        </w:rPr>
        <w:t>проє</w:t>
      </w:r>
      <w:r w:rsidRPr="00385E91">
        <w:rPr>
          <w:szCs w:val="20"/>
        </w:rPr>
        <w:t>ктного</w:t>
      </w:r>
      <w:proofErr w:type="spellEnd"/>
      <w:r w:rsidRPr="00385E91">
        <w:rPr>
          <w:szCs w:val="20"/>
        </w:rPr>
        <w:t xml:space="preserve"> портфеля публічних інвестицій </w:t>
      </w:r>
      <w:r w:rsidR="00FE6EAE" w:rsidRPr="00385E91">
        <w:rPr>
          <w:szCs w:val="20"/>
        </w:rPr>
        <w:t>Сумської</w:t>
      </w:r>
      <w:r w:rsidRPr="00385E91">
        <w:rPr>
          <w:szCs w:val="20"/>
        </w:rPr>
        <w:t xml:space="preserve"> міської територіальної громади </w:t>
      </w:r>
      <w:r w:rsidR="00890669" w:rsidRPr="00385E91">
        <w:rPr>
          <w:szCs w:val="20"/>
        </w:rPr>
        <w:t>з урахуванням обсягу місцевих гарантій, що надаються</w:t>
      </w:r>
      <w:r w:rsidR="00744387" w:rsidRPr="00385E91">
        <w:rPr>
          <w:szCs w:val="20"/>
        </w:rPr>
        <w:t xml:space="preserve"> за рішенням Сумської міською ради</w:t>
      </w:r>
      <w:r w:rsidR="00890669" w:rsidRPr="00385E91">
        <w:rPr>
          <w:szCs w:val="20"/>
        </w:rPr>
        <w:t xml:space="preserve"> для забезпечення виконанн</w:t>
      </w:r>
      <w:r w:rsidR="00E171A6" w:rsidRPr="00385E91">
        <w:rPr>
          <w:szCs w:val="20"/>
        </w:rPr>
        <w:t>я боргових зобов</w:t>
      </w:r>
      <w:r w:rsidR="002760E4" w:rsidRPr="00385E91">
        <w:rPr>
          <w:szCs w:val="20"/>
        </w:rPr>
        <w:t>’язань</w:t>
      </w:r>
      <w:r w:rsidR="00744387" w:rsidRPr="00385E91">
        <w:rPr>
          <w:szCs w:val="20"/>
        </w:rPr>
        <w:t xml:space="preserve"> за кредитами </w:t>
      </w:r>
      <w:r w:rsidR="002760E4" w:rsidRPr="00385E91">
        <w:rPr>
          <w:szCs w:val="20"/>
        </w:rPr>
        <w:t xml:space="preserve">суб’єктів господарювання, </w:t>
      </w:r>
      <w:r w:rsidR="007444E1" w:rsidRPr="00385E91">
        <w:rPr>
          <w:szCs w:val="20"/>
        </w:rPr>
        <w:t xml:space="preserve">які </w:t>
      </w:r>
      <w:r w:rsidR="002760E4" w:rsidRPr="00385E91">
        <w:rPr>
          <w:szCs w:val="20"/>
        </w:rPr>
        <w:t xml:space="preserve">належать до </w:t>
      </w:r>
      <w:r w:rsidR="00E171A6" w:rsidRPr="00385E91">
        <w:rPr>
          <w:szCs w:val="20"/>
        </w:rPr>
        <w:t>комунальної власності</w:t>
      </w:r>
      <w:r w:rsidR="002760E4" w:rsidRPr="00385E91">
        <w:rPr>
          <w:szCs w:val="20"/>
        </w:rPr>
        <w:t xml:space="preserve"> Сумської міської територіальної громади</w:t>
      </w:r>
      <w:r w:rsidR="00E171A6" w:rsidRPr="00385E91">
        <w:rPr>
          <w:szCs w:val="20"/>
        </w:rPr>
        <w:t xml:space="preserve">, розташовані на території Сумської міської територіальної громади та здійснюють </w:t>
      </w:r>
      <w:r w:rsidR="002760E4" w:rsidRPr="00385E91">
        <w:rPr>
          <w:szCs w:val="20"/>
        </w:rPr>
        <w:t xml:space="preserve">на цій території </w:t>
      </w:r>
      <w:r w:rsidR="00E171A6" w:rsidRPr="00385E91">
        <w:rPr>
          <w:szCs w:val="20"/>
        </w:rPr>
        <w:t xml:space="preserve">реалізацію публічних інвестиційних </w:t>
      </w:r>
      <w:proofErr w:type="spellStart"/>
      <w:r w:rsidR="00E171A6" w:rsidRPr="00385E91">
        <w:rPr>
          <w:szCs w:val="20"/>
        </w:rPr>
        <w:t>проєктів</w:t>
      </w:r>
      <w:proofErr w:type="spellEnd"/>
      <w:r w:rsidR="00E171A6" w:rsidRPr="00385E91">
        <w:rPr>
          <w:szCs w:val="20"/>
        </w:rPr>
        <w:t>, метою яких є розвиток комунальної інфраструктури або впровадження ресурсозберігаючих технологій,</w:t>
      </w:r>
      <w:r w:rsidR="002760E4" w:rsidRPr="00385E91">
        <w:rPr>
          <w:szCs w:val="20"/>
        </w:rPr>
        <w:t xml:space="preserve"> </w:t>
      </w:r>
      <w:r w:rsidR="00E171A6" w:rsidRPr="00385E91">
        <w:rPr>
          <w:szCs w:val="20"/>
        </w:rPr>
        <w:t xml:space="preserve">які залучаються </w:t>
      </w:r>
      <w:r w:rsidR="00E22AAD" w:rsidRPr="00385E91">
        <w:rPr>
          <w:szCs w:val="20"/>
        </w:rPr>
        <w:t xml:space="preserve">для підготовки та реалізації публічних інвестиційних </w:t>
      </w:r>
      <w:proofErr w:type="spellStart"/>
      <w:r w:rsidR="00E22AAD" w:rsidRPr="00385E91">
        <w:rPr>
          <w:szCs w:val="20"/>
        </w:rPr>
        <w:t>проєктів</w:t>
      </w:r>
      <w:proofErr w:type="spellEnd"/>
      <w:r w:rsidR="00E22AAD" w:rsidRPr="00385E91">
        <w:rPr>
          <w:szCs w:val="20"/>
        </w:rPr>
        <w:t xml:space="preserve"> та програм.</w:t>
      </w:r>
      <w:r w:rsidR="00E171A6" w:rsidRPr="00385E91">
        <w:rPr>
          <w:szCs w:val="20"/>
        </w:rPr>
        <w:t xml:space="preserve"> </w:t>
      </w:r>
    </w:p>
    <w:p w:rsidR="00642904" w:rsidRPr="00385E91" w:rsidRDefault="00642904" w:rsidP="00642904">
      <w:pPr>
        <w:ind w:firstLine="567"/>
        <w:rPr>
          <w:szCs w:val="20"/>
        </w:rPr>
      </w:pPr>
      <w:r w:rsidRPr="00385E91">
        <w:rPr>
          <w:szCs w:val="20"/>
        </w:rPr>
        <w:t xml:space="preserve">2. У цьому Порядку терміни вживаються у </w:t>
      </w:r>
      <w:r w:rsidR="00E22AAD" w:rsidRPr="00385E91">
        <w:rPr>
          <w:szCs w:val="20"/>
        </w:rPr>
        <w:t>такому значенні:</w:t>
      </w:r>
      <w:r w:rsidRPr="00385E91">
        <w:rPr>
          <w:szCs w:val="20"/>
        </w:rPr>
        <w:t xml:space="preserve"> </w:t>
      </w:r>
    </w:p>
    <w:p w:rsidR="00E22AAD" w:rsidRPr="00385E91" w:rsidRDefault="00E22AAD" w:rsidP="00642904">
      <w:pPr>
        <w:ind w:firstLine="567"/>
        <w:rPr>
          <w:szCs w:val="20"/>
        </w:rPr>
      </w:pPr>
      <w:r w:rsidRPr="00385E91">
        <w:rPr>
          <w:szCs w:val="20"/>
        </w:rPr>
        <w:t xml:space="preserve">- </w:t>
      </w:r>
      <w:r w:rsidRPr="00385E91">
        <w:rPr>
          <w:i/>
          <w:szCs w:val="20"/>
        </w:rPr>
        <w:t>життєвий цик</w:t>
      </w:r>
      <w:r w:rsidR="004A5217" w:rsidRPr="00385E91">
        <w:rPr>
          <w:i/>
          <w:szCs w:val="20"/>
        </w:rPr>
        <w:t xml:space="preserve">л публічного інвестиційного </w:t>
      </w:r>
      <w:proofErr w:type="spellStart"/>
      <w:r w:rsidR="004A5217" w:rsidRPr="00385E91">
        <w:rPr>
          <w:i/>
          <w:szCs w:val="20"/>
        </w:rPr>
        <w:t>проє</w:t>
      </w:r>
      <w:r w:rsidRPr="00385E91">
        <w:rPr>
          <w:i/>
          <w:szCs w:val="20"/>
        </w:rPr>
        <w:t>кту</w:t>
      </w:r>
      <w:proofErr w:type="spellEnd"/>
      <w:r w:rsidRPr="00385E91">
        <w:rPr>
          <w:szCs w:val="20"/>
        </w:rPr>
        <w:t xml:space="preserve"> - період часу, який складається з послідовних дій та етапів, кожен з яких має свої часові межі, та спрямований на досягнення результаті</w:t>
      </w:r>
      <w:r w:rsidR="004A5217" w:rsidRPr="00385E91">
        <w:rPr>
          <w:szCs w:val="20"/>
        </w:rPr>
        <w:t xml:space="preserve">в публічного інвестиційного </w:t>
      </w:r>
      <w:proofErr w:type="spellStart"/>
      <w:r w:rsidR="004A5217" w:rsidRPr="00385E91">
        <w:rPr>
          <w:szCs w:val="20"/>
        </w:rPr>
        <w:t>проє</w:t>
      </w:r>
      <w:r w:rsidRPr="00385E91">
        <w:rPr>
          <w:szCs w:val="20"/>
        </w:rPr>
        <w:t>кту</w:t>
      </w:r>
      <w:proofErr w:type="spellEnd"/>
      <w:r w:rsidRPr="00385E91">
        <w:rPr>
          <w:szCs w:val="20"/>
        </w:rPr>
        <w:t>;</w:t>
      </w:r>
    </w:p>
    <w:p w:rsidR="00E22AAD" w:rsidRPr="00385E91" w:rsidRDefault="00E22AAD" w:rsidP="00E22AAD">
      <w:pPr>
        <w:shd w:val="clear" w:color="auto" w:fill="FFFFFF"/>
        <w:ind w:firstLine="450"/>
        <w:rPr>
          <w:szCs w:val="20"/>
        </w:rPr>
      </w:pPr>
      <w:r w:rsidRPr="00385E91">
        <w:rPr>
          <w:szCs w:val="20"/>
        </w:rPr>
        <w:t xml:space="preserve">- </w:t>
      </w:r>
      <w:r w:rsidRPr="00385E91">
        <w:rPr>
          <w:i/>
          <w:szCs w:val="20"/>
        </w:rPr>
        <w:t>моніторинг стану підготовки та реалізаці</w:t>
      </w:r>
      <w:r w:rsidR="004A5217" w:rsidRPr="00385E91">
        <w:rPr>
          <w:i/>
          <w:szCs w:val="20"/>
        </w:rPr>
        <w:t xml:space="preserve">ї публічного інвестиційного </w:t>
      </w:r>
      <w:proofErr w:type="spellStart"/>
      <w:r w:rsidR="004A5217" w:rsidRPr="00385E91">
        <w:rPr>
          <w:i/>
          <w:szCs w:val="20"/>
        </w:rPr>
        <w:t>проє</w:t>
      </w:r>
      <w:r w:rsidRPr="00385E91">
        <w:rPr>
          <w:i/>
          <w:szCs w:val="20"/>
        </w:rPr>
        <w:t>кту</w:t>
      </w:r>
      <w:proofErr w:type="spellEnd"/>
      <w:r w:rsidRPr="00385E91">
        <w:rPr>
          <w:i/>
          <w:szCs w:val="20"/>
        </w:rPr>
        <w:t xml:space="preserve"> та програми публічних інвестицій</w:t>
      </w:r>
      <w:r w:rsidRPr="00385E91">
        <w:rPr>
          <w:szCs w:val="20"/>
        </w:rPr>
        <w:t xml:space="preserve"> - комплекс заходів щодо постійного і безперервного аналізу інформації про стан підготовки та реалізаці</w:t>
      </w:r>
      <w:r w:rsidR="004A5217" w:rsidRPr="00385E91">
        <w:rPr>
          <w:szCs w:val="20"/>
        </w:rPr>
        <w:t xml:space="preserve">ї публічного інвестиційного </w:t>
      </w:r>
      <w:proofErr w:type="spellStart"/>
      <w:r w:rsidR="004A5217" w:rsidRPr="00385E91">
        <w:rPr>
          <w:szCs w:val="20"/>
        </w:rPr>
        <w:t>проє</w:t>
      </w:r>
      <w:r w:rsidRPr="00385E91">
        <w:rPr>
          <w:szCs w:val="20"/>
        </w:rPr>
        <w:t>кту</w:t>
      </w:r>
      <w:proofErr w:type="spellEnd"/>
      <w:r w:rsidRPr="00385E91">
        <w:rPr>
          <w:szCs w:val="20"/>
        </w:rPr>
        <w:t xml:space="preserve"> та програми публічних інвестицій для здійснення контролю за відповідністю запланованих витрат, ре</w:t>
      </w:r>
      <w:r w:rsidR="004A5217" w:rsidRPr="00385E91">
        <w:rPr>
          <w:szCs w:val="20"/>
        </w:rPr>
        <w:t xml:space="preserve">зультатів, плану реалізації </w:t>
      </w:r>
      <w:proofErr w:type="spellStart"/>
      <w:r w:rsidR="004A5217" w:rsidRPr="00385E91">
        <w:rPr>
          <w:szCs w:val="20"/>
        </w:rPr>
        <w:t>проє</w:t>
      </w:r>
      <w:r w:rsidRPr="00385E91">
        <w:rPr>
          <w:szCs w:val="20"/>
        </w:rPr>
        <w:t>кту</w:t>
      </w:r>
      <w:proofErr w:type="spellEnd"/>
      <w:r w:rsidRPr="00385E91">
        <w:rPr>
          <w:szCs w:val="20"/>
        </w:rPr>
        <w:t xml:space="preserve"> та програми фактичним даним з метою вчасного виявлення відхилень від плану та ефективного впровадженн</w:t>
      </w:r>
      <w:r w:rsidR="004A5217" w:rsidRPr="00385E91">
        <w:rPr>
          <w:szCs w:val="20"/>
        </w:rPr>
        <w:t xml:space="preserve">я публічного інвестиційного </w:t>
      </w:r>
      <w:proofErr w:type="spellStart"/>
      <w:r w:rsidR="004A5217" w:rsidRPr="00385E91">
        <w:rPr>
          <w:szCs w:val="20"/>
        </w:rPr>
        <w:t>проє</w:t>
      </w:r>
      <w:r w:rsidRPr="00385E91">
        <w:rPr>
          <w:szCs w:val="20"/>
        </w:rPr>
        <w:t>кту</w:t>
      </w:r>
      <w:proofErr w:type="spellEnd"/>
      <w:r w:rsidRPr="00385E91">
        <w:rPr>
          <w:szCs w:val="20"/>
        </w:rPr>
        <w:t xml:space="preserve"> та програми публічних інвестицій;</w:t>
      </w:r>
    </w:p>
    <w:p w:rsidR="00E22AAD" w:rsidRPr="00385E91" w:rsidRDefault="00E22AAD" w:rsidP="00E22AAD">
      <w:pPr>
        <w:shd w:val="clear" w:color="auto" w:fill="FFFFFF"/>
        <w:ind w:firstLine="450"/>
        <w:rPr>
          <w:szCs w:val="20"/>
        </w:rPr>
      </w:pPr>
      <w:bookmarkStart w:id="2" w:name="n79"/>
      <w:bookmarkEnd w:id="2"/>
      <w:r w:rsidRPr="00385E91">
        <w:rPr>
          <w:szCs w:val="20"/>
        </w:rPr>
        <w:t xml:space="preserve">- </w:t>
      </w:r>
      <w:r w:rsidRPr="00385E91">
        <w:rPr>
          <w:i/>
          <w:szCs w:val="20"/>
        </w:rPr>
        <w:t>но</w:t>
      </w:r>
      <w:r w:rsidR="004A5217" w:rsidRPr="00385E91">
        <w:rPr>
          <w:i/>
          <w:szCs w:val="20"/>
        </w:rPr>
        <w:t xml:space="preserve">вий публічний інвестиційний </w:t>
      </w:r>
      <w:proofErr w:type="spellStart"/>
      <w:r w:rsidR="004A5217" w:rsidRPr="00385E91">
        <w:rPr>
          <w:i/>
          <w:szCs w:val="20"/>
        </w:rPr>
        <w:t>проє</w:t>
      </w:r>
      <w:r w:rsidRPr="00385E91">
        <w:rPr>
          <w:i/>
          <w:szCs w:val="20"/>
        </w:rPr>
        <w:t>кт</w:t>
      </w:r>
      <w:proofErr w:type="spellEnd"/>
      <w:r w:rsidRPr="00385E91">
        <w:rPr>
          <w:i/>
          <w:szCs w:val="20"/>
        </w:rPr>
        <w:t xml:space="preserve"> або нова програма публічних інвестицій</w:t>
      </w:r>
      <w:r w:rsidR="00D24827" w:rsidRPr="00385E91">
        <w:rPr>
          <w:szCs w:val="20"/>
        </w:rPr>
        <w:t xml:space="preserve"> - публічний інвестиційний </w:t>
      </w:r>
      <w:proofErr w:type="spellStart"/>
      <w:r w:rsidR="00D24827" w:rsidRPr="00385E91">
        <w:rPr>
          <w:szCs w:val="20"/>
        </w:rPr>
        <w:t>проє</w:t>
      </w:r>
      <w:r w:rsidRPr="00385E91">
        <w:rPr>
          <w:szCs w:val="20"/>
        </w:rPr>
        <w:t>кт</w:t>
      </w:r>
      <w:proofErr w:type="spellEnd"/>
      <w:r w:rsidRPr="00385E91">
        <w:rPr>
          <w:szCs w:val="20"/>
        </w:rPr>
        <w:t xml:space="preserve"> або програма публічних інвестицій, фінансове забезпечення яких або будь-яких їх складових не здійснювалося у попередні бюджетні періоди;</w:t>
      </w:r>
    </w:p>
    <w:p w:rsidR="00E22AAD" w:rsidRPr="00385E91" w:rsidRDefault="00E22AAD" w:rsidP="00E22AAD">
      <w:pPr>
        <w:shd w:val="clear" w:color="auto" w:fill="FFFFFF"/>
        <w:ind w:firstLine="450"/>
        <w:rPr>
          <w:szCs w:val="20"/>
        </w:rPr>
      </w:pPr>
      <w:bookmarkStart w:id="3" w:name="n80"/>
      <w:bookmarkEnd w:id="3"/>
      <w:r w:rsidRPr="00385E91">
        <w:rPr>
          <w:szCs w:val="20"/>
        </w:rPr>
        <w:t xml:space="preserve">- </w:t>
      </w:r>
      <w:r w:rsidRPr="00385E91">
        <w:rPr>
          <w:i/>
          <w:szCs w:val="20"/>
        </w:rPr>
        <w:t>підготовк</w:t>
      </w:r>
      <w:r w:rsidR="004A5217" w:rsidRPr="00385E91">
        <w:rPr>
          <w:i/>
          <w:szCs w:val="20"/>
        </w:rPr>
        <w:t xml:space="preserve">а публічного інвестиційного </w:t>
      </w:r>
      <w:proofErr w:type="spellStart"/>
      <w:r w:rsidR="004A5217" w:rsidRPr="00385E91">
        <w:rPr>
          <w:i/>
          <w:szCs w:val="20"/>
        </w:rPr>
        <w:t>проє</w:t>
      </w:r>
      <w:r w:rsidRPr="00385E91">
        <w:rPr>
          <w:i/>
          <w:szCs w:val="20"/>
        </w:rPr>
        <w:t>кту</w:t>
      </w:r>
      <w:proofErr w:type="spellEnd"/>
      <w:r w:rsidRPr="00385E91">
        <w:rPr>
          <w:szCs w:val="20"/>
        </w:rPr>
        <w:t xml:space="preserve"> - передінвестиційний етап життєвого цикл</w:t>
      </w:r>
      <w:r w:rsidR="00D24827" w:rsidRPr="00385E91">
        <w:rPr>
          <w:szCs w:val="20"/>
        </w:rPr>
        <w:t xml:space="preserve">у публічного інвестиційного </w:t>
      </w:r>
      <w:proofErr w:type="spellStart"/>
      <w:r w:rsidR="00D24827" w:rsidRPr="00385E91">
        <w:rPr>
          <w:szCs w:val="20"/>
        </w:rPr>
        <w:t>проє</w:t>
      </w:r>
      <w:r w:rsidRPr="00385E91">
        <w:rPr>
          <w:szCs w:val="20"/>
        </w:rPr>
        <w:t>кт</w:t>
      </w:r>
      <w:r w:rsidR="00D24827" w:rsidRPr="00385E91">
        <w:rPr>
          <w:szCs w:val="20"/>
        </w:rPr>
        <w:t>у</w:t>
      </w:r>
      <w:proofErr w:type="spellEnd"/>
      <w:r w:rsidR="00D24827" w:rsidRPr="00385E91">
        <w:rPr>
          <w:szCs w:val="20"/>
        </w:rPr>
        <w:t xml:space="preserve">, який включає розроблення </w:t>
      </w:r>
      <w:proofErr w:type="spellStart"/>
      <w:r w:rsidR="00D24827" w:rsidRPr="00385E91">
        <w:rPr>
          <w:szCs w:val="20"/>
        </w:rPr>
        <w:t>проє</w:t>
      </w:r>
      <w:r w:rsidRPr="00385E91">
        <w:rPr>
          <w:szCs w:val="20"/>
        </w:rPr>
        <w:t>кту</w:t>
      </w:r>
      <w:proofErr w:type="spellEnd"/>
      <w:r w:rsidRPr="00385E91">
        <w:rPr>
          <w:szCs w:val="20"/>
        </w:rPr>
        <w:t>, здійснення передінвестиційних досліджень (попереднє і повне техніко-</w:t>
      </w:r>
      <w:r w:rsidRPr="00385E91">
        <w:rPr>
          <w:szCs w:val="20"/>
        </w:rPr>
        <w:lastRenderedPageBreak/>
        <w:t>економ</w:t>
      </w:r>
      <w:r w:rsidR="00D24827" w:rsidRPr="00385E91">
        <w:rPr>
          <w:szCs w:val="20"/>
        </w:rPr>
        <w:t xml:space="preserve">ічне обґрунтування), оцінку </w:t>
      </w:r>
      <w:proofErr w:type="spellStart"/>
      <w:r w:rsidR="00D24827" w:rsidRPr="00385E91">
        <w:rPr>
          <w:szCs w:val="20"/>
        </w:rPr>
        <w:t>проє</w:t>
      </w:r>
      <w:r w:rsidRPr="00385E91">
        <w:rPr>
          <w:szCs w:val="20"/>
        </w:rPr>
        <w:t>кту</w:t>
      </w:r>
      <w:proofErr w:type="spellEnd"/>
      <w:r w:rsidRPr="00385E91">
        <w:rPr>
          <w:szCs w:val="20"/>
        </w:rPr>
        <w:t xml:space="preserve">, прийняття рішення щодо його доцільності та включення до секторального портфеля публічних інвестицій, прийняття рішення </w:t>
      </w:r>
      <w:r w:rsidR="00B401F6" w:rsidRPr="00385E91">
        <w:rPr>
          <w:szCs w:val="20"/>
        </w:rPr>
        <w:t>І</w:t>
      </w:r>
      <w:r w:rsidRPr="00385E91">
        <w:rPr>
          <w:szCs w:val="20"/>
        </w:rPr>
        <w:t>нвестиційною радою</w:t>
      </w:r>
      <w:r w:rsidR="00B401F6" w:rsidRPr="00385E91">
        <w:rPr>
          <w:szCs w:val="20"/>
        </w:rPr>
        <w:t xml:space="preserve"> Сумської міської територіал</w:t>
      </w:r>
      <w:r w:rsidR="004A5217" w:rsidRPr="00385E91">
        <w:rPr>
          <w:szCs w:val="20"/>
        </w:rPr>
        <w:t xml:space="preserve">ьної громади щодо включення </w:t>
      </w:r>
      <w:proofErr w:type="spellStart"/>
      <w:r w:rsidR="004A5217" w:rsidRPr="00385E91">
        <w:rPr>
          <w:szCs w:val="20"/>
        </w:rPr>
        <w:t>проє</w:t>
      </w:r>
      <w:r w:rsidR="00B401F6" w:rsidRPr="00385E91">
        <w:rPr>
          <w:szCs w:val="20"/>
        </w:rPr>
        <w:t>кту</w:t>
      </w:r>
      <w:proofErr w:type="spellEnd"/>
      <w:r w:rsidR="00B401F6" w:rsidRPr="00385E91">
        <w:rPr>
          <w:szCs w:val="20"/>
        </w:rPr>
        <w:t xml:space="preserve"> до Є</w:t>
      </w:r>
      <w:r w:rsidR="004A5217" w:rsidRPr="00385E91">
        <w:rPr>
          <w:szCs w:val="20"/>
        </w:rPr>
        <w:t xml:space="preserve">диного </w:t>
      </w:r>
      <w:proofErr w:type="spellStart"/>
      <w:r w:rsidR="004A5217" w:rsidRPr="00385E91">
        <w:rPr>
          <w:szCs w:val="20"/>
        </w:rPr>
        <w:t>проє</w:t>
      </w:r>
      <w:r w:rsidRPr="00385E91">
        <w:rPr>
          <w:szCs w:val="20"/>
        </w:rPr>
        <w:t>ктного</w:t>
      </w:r>
      <w:proofErr w:type="spellEnd"/>
      <w:r w:rsidRPr="00385E91">
        <w:rPr>
          <w:szCs w:val="20"/>
        </w:rPr>
        <w:t xml:space="preserve"> портфеля публічних інвестицій </w:t>
      </w:r>
      <w:r w:rsidR="00B401F6" w:rsidRPr="00385E91">
        <w:rPr>
          <w:szCs w:val="20"/>
        </w:rPr>
        <w:t xml:space="preserve">Сумської міської </w:t>
      </w:r>
      <w:r w:rsidR="0009580A" w:rsidRPr="00385E91">
        <w:rPr>
          <w:szCs w:val="20"/>
        </w:rPr>
        <w:t>територіальної громади</w:t>
      </w:r>
      <w:r w:rsidRPr="00385E91">
        <w:rPr>
          <w:szCs w:val="20"/>
        </w:rPr>
        <w:t>;</w:t>
      </w:r>
    </w:p>
    <w:p w:rsidR="00E22AAD" w:rsidRPr="00385E91" w:rsidRDefault="00E22AAD" w:rsidP="00E22AAD">
      <w:pPr>
        <w:shd w:val="clear" w:color="auto" w:fill="FFFFFF"/>
        <w:ind w:firstLine="450"/>
        <w:rPr>
          <w:szCs w:val="20"/>
        </w:rPr>
      </w:pPr>
      <w:bookmarkStart w:id="4" w:name="n81"/>
      <w:bookmarkEnd w:id="4"/>
      <w:r w:rsidRPr="00385E91">
        <w:rPr>
          <w:szCs w:val="20"/>
        </w:rPr>
        <w:t xml:space="preserve">- </w:t>
      </w:r>
      <w:r w:rsidRPr="00385E91">
        <w:rPr>
          <w:i/>
          <w:szCs w:val="20"/>
        </w:rPr>
        <w:t>реалізація програми публічних інвестицій</w:t>
      </w:r>
      <w:r w:rsidRPr="00385E91">
        <w:rPr>
          <w:szCs w:val="20"/>
        </w:rPr>
        <w:t xml:space="preserve"> - здійснення заходів, передбачених програмою публічних інвестицій для досягнення встановлених цільових показників, зокрема від</w:t>
      </w:r>
      <w:r w:rsidR="004A5217" w:rsidRPr="00385E91">
        <w:rPr>
          <w:szCs w:val="20"/>
        </w:rPr>
        <w:t xml:space="preserve">бір публічних інвестиційних </w:t>
      </w:r>
      <w:proofErr w:type="spellStart"/>
      <w:r w:rsidR="004A5217" w:rsidRPr="00385E91">
        <w:rPr>
          <w:szCs w:val="20"/>
        </w:rPr>
        <w:t>проє</w:t>
      </w:r>
      <w:r w:rsidRPr="00385E91">
        <w:rPr>
          <w:szCs w:val="20"/>
        </w:rPr>
        <w:t>ктів</w:t>
      </w:r>
      <w:proofErr w:type="spellEnd"/>
      <w:r w:rsidRPr="00385E91">
        <w:rPr>
          <w:szCs w:val="20"/>
        </w:rPr>
        <w:t>, що відповідають затвердженим у рамках програми критеріям, розподіл відповідних коштів бюджету</w:t>
      </w:r>
      <w:r w:rsidR="00B401F6" w:rsidRPr="00385E91">
        <w:rPr>
          <w:szCs w:val="20"/>
        </w:rPr>
        <w:t xml:space="preserve"> Сумської міської територіальної громади</w:t>
      </w:r>
      <w:r w:rsidRPr="00385E91">
        <w:rPr>
          <w:szCs w:val="20"/>
        </w:rPr>
        <w:t xml:space="preserve"> в межах загального обсягу програми та моніт</w:t>
      </w:r>
      <w:r w:rsidR="004A5217" w:rsidRPr="00385E91">
        <w:rPr>
          <w:szCs w:val="20"/>
        </w:rPr>
        <w:t xml:space="preserve">оринг реалізації відібраних </w:t>
      </w:r>
      <w:proofErr w:type="spellStart"/>
      <w:r w:rsidR="004A5217" w:rsidRPr="00385E91">
        <w:rPr>
          <w:szCs w:val="20"/>
        </w:rPr>
        <w:t>проє</w:t>
      </w:r>
      <w:r w:rsidRPr="00385E91">
        <w:rPr>
          <w:szCs w:val="20"/>
        </w:rPr>
        <w:t>ктів</w:t>
      </w:r>
      <w:proofErr w:type="spellEnd"/>
      <w:r w:rsidRPr="00385E91">
        <w:rPr>
          <w:szCs w:val="20"/>
        </w:rPr>
        <w:t>;</w:t>
      </w:r>
    </w:p>
    <w:p w:rsidR="00E22AAD" w:rsidRPr="00385E91" w:rsidRDefault="00E22AAD" w:rsidP="00E22AAD">
      <w:pPr>
        <w:shd w:val="clear" w:color="auto" w:fill="FFFFFF"/>
        <w:ind w:firstLine="450"/>
        <w:rPr>
          <w:szCs w:val="20"/>
        </w:rPr>
      </w:pPr>
      <w:bookmarkStart w:id="5" w:name="n82"/>
      <w:bookmarkEnd w:id="5"/>
      <w:r w:rsidRPr="00385E91">
        <w:rPr>
          <w:szCs w:val="20"/>
        </w:rPr>
        <w:t xml:space="preserve">- </w:t>
      </w:r>
      <w:r w:rsidRPr="00385E91">
        <w:rPr>
          <w:i/>
          <w:szCs w:val="20"/>
        </w:rPr>
        <w:t>реалізаці</w:t>
      </w:r>
      <w:r w:rsidR="004A5217" w:rsidRPr="00385E91">
        <w:rPr>
          <w:i/>
          <w:szCs w:val="20"/>
        </w:rPr>
        <w:t xml:space="preserve">я публічного інвестиційного </w:t>
      </w:r>
      <w:proofErr w:type="spellStart"/>
      <w:r w:rsidR="004A5217" w:rsidRPr="00385E91">
        <w:rPr>
          <w:i/>
          <w:szCs w:val="20"/>
        </w:rPr>
        <w:t>проє</w:t>
      </w:r>
      <w:r w:rsidRPr="00385E91">
        <w:rPr>
          <w:i/>
          <w:szCs w:val="20"/>
        </w:rPr>
        <w:t>кту</w:t>
      </w:r>
      <w:proofErr w:type="spellEnd"/>
      <w:r w:rsidRPr="00385E91">
        <w:rPr>
          <w:szCs w:val="20"/>
        </w:rPr>
        <w:t xml:space="preserve"> - інвестиційний етап життєвого цикл</w:t>
      </w:r>
      <w:r w:rsidR="004A5217" w:rsidRPr="00385E91">
        <w:rPr>
          <w:szCs w:val="20"/>
        </w:rPr>
        <w:t xml:space="preserve">у публічного інвестиційного </w:t>
      </w:r>
      <w:proofErr w:type="spellStart"/>
      <w:r w:rsidR="004A5217" w:rsidRPr="00385E91">
        <w:rPr>
          <w:szCs w:val="20"/>
        </w:rPr>
        <w:t>проє</w:t>
      </w:r>
      <w:r w:rsidRPr="00385E91">
        <w:rPr>
          <w:szCs w:val="20"/>
        </w:rPr>
        <w:t>кту</w:t>
      </w:r>
      <w:proofErr w:type="spellEnd"/>
      <w:r w:rsidRPr="00385E91">
        <w:rPr>
          <w:szCs w:val="20"/>
        </w:rPr>
        <w:t>, який вк</w:t>
      </w:r>
      <w:r w:rsidR="00D24827" w:rsidRPr="00385E91">
        <w:rPr>
          <w:szCs w:val="20"/>
        </w:rPr>
        <w:t xml:space="preserve">лючає, зокрема, розроблення </w:t>
      </w:r>
      <w:proofErr w:type="spellStart"/>
      <w:r w:rsidR="00D24827" w:rsidRPr="00385E91">
        <w:rPr>
          <w:szCs w:val="20"/>
        </w:rPr>
        <w:t>проє</w:t>
      </w:r>
      <w:r w:rsidRPr="00385E91">
        <w:rPr>
          <w:szCs w:val="20"/>
        </w:rPr>
        <w:t>ктної</w:t>
      </w:r>
      <w:proofErr w:type="spellEnd"/>
      <w:r w:rsidRPr="00385E91">
        <w:rPr>
          <w:szCs w:val="20"/>
        </w:rPr>
        <w:t xml:space="preserve"> документації та її затвердження, отримання відповідних дозволів, підготовку та проведення процедур </w:t>
      </w:r>
      <w:proofErr w:type="spellStart"/>
      <w:r w:rsidRPr="00385E91">
        <w:rPr>
          <w:szCs w:val="20"/>
        </w:rPr>
        <w:t>закупівель</w:t>
      </w:r>
      <w:proofErr w:type="spellEnd"/>
      <w:r w:rsidRPr="00385E91">
        <w:rPr>
          <w:szCs w:val="20"/>
        </w:rPr>
        <w:t>, укладення договорів, виконання будівельних робіт, придбання та встановлення обла</w:t>
      </w:r>
      <w:r w:rsidR="00D24827" w:rsidRPr="00385E91">
        <w:rPr>
          <w:szCs w:val="20"/>
        </w:rPr>
        <w:t xml:space="preserve">днання, управління заходами </w:t>
      </w:r>
      <w:proofErr w:type="spellStart"/>
      <w:r w:rsidR="00D24827" w:rsidRPr="00385E91">
        <w:rPr>
          <w:szCs w:val="20"/>
        </w:rPr>
        <w:t>проє</w:t>
      </w:r>
      <w:r w:rsidRPr="00385E91">
        <w:rPr>
          <w:szCs w:val="20"/>
        </w:rPr>
        <w:t>кту</w:t>
      </w:r>
      <w:proofErr w:type="spellEnd"/>
      <w:r w:rsidRPr="00385E91">
        <w:rPr>
          <w:szCs w:val="20"/>
        </w:rPr>
        <w:t>, навчання персоналу, прийняття в експлуатацію;</w:t>
      </w:r>
    </w:p>
    <w:p w:rsidR="00E22AAD" w:rsidRPr="00385E91" w:rsidRDefault="00E22AAD" w:rsidP="00E22AAD">
      <w:pPr>
        <w:shd w:val="clear" w:color="auto" w:fill="FFFFFF"/>
        <w:ind w:firstLine="450"/>
        <w:rPr>
          <w:szCs w:val="20"/>
        </w:rPr>
      </w:pPr>
      <w:bookmarkStart w:id="6" w:name="n83"/>
      <w:bookmarkEnd w:id="6"/>
      <w:r w:rsidRPr="00385E91">
        <w:rPr>
          <w:szCs w:val="20"/>
        </w:rPr>
        <w:t xml:space="preserve">- </w:t>
      </w:r>
      <w:r w:rsidRPr="00385E91">
        <w:rPr>
          <w:i/>
          <w:szCs w:val="20"/>
        </w:rPr>
        <w:t>розпоча</w:t>
      </w:r>
      <w:r w:rsidR="004A5217" w:rsidRPr="00385E91">
        <w:rPr>
          <w:i/>
          <w:szCs w:val="20"/>
        </w:rPr>
        <w:t xml:space="preserve">тий публічний інвестиційний </w:t>
      </w:r>
      <w:proofErr w:type="spellStart"/>
      <w:r w:rsidR="004A5217" w:rsidRPr="00385E91">
        <w:rPr>
          <w:i/>
          <w:szCs w:val="20"/>
        </w:rPr>
        <w:t>проє</w:t>
      </w:r>
      <w:r w:rsidRPr="00385E91">
        <w:rPr>
          <w:i/>
          <w:szCs w:val="20"/>
        </w:rPr>
        <w:t>кт</w:t>
      </w:r>
      <w:proofErr w:type="spellEnd"/>
      <w:r w:rsidRPr="00385E91">
        <w:rPr>
          <w:i/>
          <w:szCs w:val="20"/>
        </w:rPr>
        <w:t xml:space="preserve"> або розпочата програма публічних інвестицій</w:t>
      </w:r>
      <w:r w:rsidR="004A5217" w:rsidRPr="00385E91">
        <w:rPr>
          <w:szCs w:val="20"/>
        </w:rPr>
        <w:t xml:space="preserve"> - публічний інвестиційний </w:t>
      </w:r>
      <w:proofErr w:type="spellStart"/>
      <w:r w:rsidR="004A5217" w:rsidRPr="00385E91">
        <w:rPr>
          <w:szCs w:val="20"/>
        </w:rPr>
        <w:t>проє</w:t>
      </w:r>
      <w:r w:rsidRPr="00385E91">
        <w:rPr>
          <w:szCs w:val="20"/>
        </w:rPr>
        <w:t>кт</w:t>
      </w:r>
      <w:proofErr w:type="spellEnd"/>
      <w:r w:rsidRPr="00385E91">
        <w:rPr>
          <w:szCs w:val="20"/>
        </w:rPr>
        <w:t xml:space="preserve"> або програма публічних інвестицій, фінансове забезпечення яких або будь-яких їх складових здійснювалося у попередні бюджетні періоди на будь-якому етапі їх життєвого циклу.</w:t>
      </w:r>
    </w:p>
    <w:p w:rsidR="00E22AAD" w:rsidRPr="00385E91" w:rsidRDefault="00E22AAD" w:rsidP="00E22AAD">
      <w:pPr>
        <w:shd w:val="clear" w:color="auto" w:fill="FFFFFF"/>
        <w:ind w:firstLine="450"/>
        <w:rPr>
          <w:szCs w:val="20"/>
        </w:rPr>
      </w:pPr>
      <w:bookmarkStart w:id="7" w:name="n84"/>
      <w:bookmarkEnd w:id="7"/>
      <w:r w:rsidRPr="00385E91">
        <w:rPr>
          <w:szCs w:val="20"/>
        </w:rPr>
        <w:t>Інші терміни вживаються у значенні, наведеному в </w:t>
      </w:r>
      <w:hyperlink r:id="rId9" w:tgtFrame="_blank" w:history="1">
        <w:r w:rsidRPr="00385E91">
          <w:rPr>
            <w:szCs w:val="20"/>
          </w:rPr>
          <w:t>Бюджетному кодексі України</w:t>
        </w:r>
      </w:hyperlink>
      <w:r w:rsidRPr="00385E91">
        <w:rPr>
          <w:szCs w:val="20"/>
        </w:rPr>
        <w:t xml:space="preserve"> </w:t>
      </w:r>
      <w:r w:rsidR="0012510C" w:rsidRPr="00385E91">
        <w:rPr>
          <w:szCs w:val="20"/>
        </w:rPr>
        <w:t xml:space="preserve">та чинному законодавстві </w:t>
      </w:r>
      <w:r w:rsidR="00B401F6" w:rsidRPr="00385E91">
        <w:rPr>
          <w:szCs w:val="20"/>
        </w:rPr>
        <w:t>у сфері публічних інвестицій.</w:t>
      </w:r>
    </w:p>
    <w:p w:rsidR="00B401F6" w:rsidRPr="00385E91" w:rsidRDefault="00B401F6" w:rsidP="00642904">
      <w:pPr>
        <w:ind w:firstLine="567"/>
        <w:rPr>
          <w:sz w:val="24"/>
          <w:szCs w:val="24"/>
        </w:rPr>
      </w:pPr>
    </w:p>
    <w:p w:rsidR="00B401F6" w:rsidRPr="00385E91" w:rsidRDefault="000F1326" w:rsidP="00B401F6">
      <w:pPr>
        <w:ind w:firstLine="567"/>
        <w:jc w:val="center"/>
        <w:rPr>
          <w:b/>
          <w:szCs w:val="20"/>
        </w:rPr>
      </w:pPr>
      <w:r w:rsidRPr="00385E91">
        <w:rPr>
          <w:b/>
          <w:szCs w:val="20"/>
        </w:rPr>
        <w:t xml:space="preserve">ІІ. </w:t>
      </w:r>
      <w:r w:rsidR="00B401F6" w:rsidRPr="00385E91">
        <w:rPr>
          <w:b/>
          <w:szCs w:val="20"/>
        </w:rPr>
        <w:t xml:space="preserve">Основні критерії щодо розподілу публічних інвестицій </w:t>
      </w:r>
    </w:p>
    <w:p w:rsidR="00E22AAD" w:rsidRPr="00385E91" w:rsidRDefault="00B401F6" w:rsidP="00B401F6">
      <w:pPr>
        <w:ind w:firstLine="567"/>
        <w:jc w:val="center"/>
        <w:rPr>
          <w:b/>
          <w:szCs w:val="20"/>
        </w:rPr>
      </w:pPr>
      <w:r w:rsidRPr="00385E91">
        <w:rPr>
          <w:b/>
          <w:szCs w:val="20"/>
        </w:rPr>
        <w:t>та проведення аналізу</w:t>
      </w:r>
    </w:p>
    <w:p w:rsidR="0012510C" w:rsidRPr="00385E91" w:rsidRDefault="0012510C" w:rsidP="00B401F6">
      <w:pPr>
        <w:ind w:firstLine="567"/>
        <w:jc w:val="center"/>
        <w:rPr>
          <w:b/>
          <w:sz w:val="16"/>
          <w:szCs w:val="16"/>
        </w:rPr>
      </w:pPr>
    </w:p>
    <w:p w:rsidR="00642904" w:rsidRPr="00385E91" w:rsidRDefault="00B401F6" w:rsidP="00642904">
      <w:pPr>
        <w:ind w:firstLine="567"/>
        <w:rPr>
          <w:szCs w:val="20"/>
        </w:rPr>
      </w:pPr>
      <w:r w:rsidRPr="00385E91">
        <w:rPr>
          <w:szCs w:val="20"/>
        </w:rPr>
        <w:t>1</w:t>
      </w:r>
      <w:r w:rsidR="00642904" w:rsidRPr="00385E91">
        <w:rPr>
          <w:szCs w:val="20"/>
        </w:rPr>
        <w:t xml:space="preserve">. З метою здійснення розподілу публічних інвестицій на плановий бюджетний період та два наступні за плановим бюджетні періоди головні розпорядники бюджетних коштів </w:t>
      </w:r>
      <w:r w:rsidRPr="00385E91">
        <w:rPr>
          <w:szCs w:val="20"/>
        </w:rPr>
        <w:t xml:space="preserve">Сумської міської територіальної громади </w:t>
      </w:r>
      <w:r w:rsidR="00642904" w:rsidRPr="00385E91">
        <w:rPr>
          <w:szCs w:val="20"/>
        </w:rPr>
        <w:t>у межах орієнтовного розподілу коштів за основними напрямами публічного інвестування у розрізі с</w:t>
      </w:r>
      <w:r w:rsidRPr="00385E91">
        <w:rPr>
          <w:szCs w:val="20"/>
        </w:rPr>
        <w:t>фер діяльності у затвердженому С</w:t>
      </w:r>
      <w:r w:rsidR="00642904" w:rsidRPr="00385E91">
        <w:rPr>
          <w:szCs w:val="20"/>
        </w:rPr>
        <w:t xml:space="preserve">ередньостроковому плані пріоритетних публічних інвестицій </w:t>
      </w:r>
      <w:r w:rsidRPr="00385E91">
        <w:rPr>
          <w:szCs w:val="20"/>
        </w:rPr>
        <w:t xml:space="preserve">Сумської міської територіальної </w:t>
      </w:r>
      <w:r w:rsidR="00642904" w:rsidRPr="00385E91">
        <w:rPr>
          <w:szCs w:val="20"/>
        </w:rPr>
        <w:t xml:space="preserve">громади на основі схваленого </w:t>
      </w:r>
      <w:r w:rsidRPr="00385E91">
        <w:rPr>
          <w:szCs w:val="20"/>
        </w:rPr>
        <w:t>І</w:t>
      </w:r>
      <w:r w:rsidR="00642904" w:rsidRPr="00385E91">
        <w:rPr>
          <w:szCs w:val="20"/>
        </w:rPr>
        <w:t>нвестиційною радою</w:t>
      </w:r>
      <w:r w:rsidRPr="00385E91">
        <w:rPr>
          <w:szCs w:val="20"/>
        </w:rPr>
        <w:t xml:space="preserve"> Сумської міської територіальної громади Є</w:t>
      </w:r>
      <w:r w:rsidR="00A10D8E" w:rsidRPr="00385E91">
        <w:rPr>
          <w:szCs w:val="20"/>
        </w:rPr>
        <w:t xml:space="preserve">диного </w:t>
      </w:r>
      <w:proofErr w:type="spellStart"/>
      <w:r w:rsidR="00A10D8E" w:rsidRPr="00385E91">
        <w:rPr>
          <w:szCs w:val="20"/>
        </w:rPr>
        <w:t>проє</w:t>
      </w:r>
      <w:r w:rsidR="00642904" w:rsidRPr="00385E91">
        <w:rPr>
          <w:szCs w:val="20"/>
        </w:rPr>
        <w:t>ктного</w:t>
      </w:r>
      <w:proofErr w:type="spellEnd"/>
      <w:r w:rsidR="00642904" w:rsidRPr="00385E91">
        <w:rPr>
          <w:szCs w:val="20"/>
        </w:rPr>
        <w:t xml:space="preserve"> портфеля публічних інвестицій </w:t>
      </w:r>
      <w:r w:rsidR="00CB4FE4" w:rsidRPr="00385E91">
        <w:rPr>
          <w:szCs w:val="20"/>
        </w:rPr>
        <w:t xml:space="preserve">Сумської міської територіальної </w:t>
      </w:r>
      <w:r w:rsidR="00642904" w:rsidRPr="00385E91">
        <w:rPr>
          <w:szCs w:val="20"/>
        </w:rPr>
        <w:t>громади</w:t>
      </w:r>
      <w:r w:rsidR="00CB4FE4" w:rsidRPr="00385E91">
        <w:rPr>
          <w:szCs w:val="20"/>
        </w:rPr>
        <w:t xml:space="preserve"> формують переліки розпочатих та но</w:t>
      </w:r>
      <w:r w:rsidR="00A10D8E" w:rsidRPr="00385E91">
        <w:rPr>
          <w:szCs w:val="20"/>
        </w:rPr>
        <w:t xml:space="preserve">вих публічних інвестиційних </w:t>
      </w:r>
      <w:proofErr w:type="spellStart"/>
      <w:r w:rsidR="00A10D8E" w:rsidRPr="00385E91">
        <w:rPr>
          <w:szCs w:val="20"/>
        </w:rPr>
        <w:t>проє</w:t>
      </w:r>
      <w:r w:rsidR="00CB4FE4" w:rsidRPr="00385E91">
        <w:rPr>
          <w:szCs w:val="20"/>
        </w:rPr>
        <w:t>ктів</w:t>
      </w:r>
      <w:proofErr w:type="spellEnd"/>
      <w:r w:rsidR="00CB4FE4" w:rsidRPr="00385E91">
        <w:rPr>
          <w:szCs w:val="20"/>
        </w:rPr>
        <w:t xml:space="preserve"> та програм публічних інвестицій </w:t>
      </w:r>
      <w:r w:rsidR="00642904" w:rsidRPr="00385E91">
        <w:rPr>
          <w:szCs w:val="20"/>
        </w:rPr>
        <w:t>за</w:t>
      </w:r>
      <w:r w:rsidR="00CB4FE4" w:rsidRPr="00385E91">
        <w:rPr>
          <w:szCs w:val="20"/>
        </w:rPr>
        <w:t xml:space="preserve"> формою згідно з додатком 1 до цього Порядку</w:t>
      </w:r>
      <w:r w:rsidR="00642904" w:rsidRPr="00385E91">
        <w:rPr>
          <w:szCs w:val="20"/>
        </w:rPr>
        <w:t xml:space="preserve"> з урахуванням таких критеріїв:</w:t>
      </w:r>
    </w:p>
    <w:p w:rsidR="00642904" w:rsidRPr="00385E91" w:rsidRDefault="00642904" w:rsidP="00642904">
      <w:pPr>
        <w:ind w:firstLine="567"/>
        <w:rPr>
          <w:szCs w:val="20"/>
        </w:rPr>
      </w:pPr>
      <w:r w:rsidRPr="00385E91">
        <w:rPr>
          <w:szCs w:val="20"/>
        </w:rPr>
        <w:sym w:font="Symbol" w:char="F02D"/>
      </w:r>
      <w:r w:rsidRPr="00385E91">
        <w:rPr>
          <w:szCs w:val="20"/>
        </w:rPr>
        <w:t xml:space="preserve"> </w:t>
      </w:r>
      <w:r w:rsidRPr="00385E91">
        <w:rPr>
          <w:b/>
          <w:i/>
          <w:szCs w:val="20"/>
        </w:rPr>
        <w:t>пріоритетність</w:t>
      </w:r>
      <w:r w:rsidRPr="00385E91">
        <w:rPr>
          <w:szCs w:val="20"/>
        </w:rPr>
        <w:t xml:space="preserve"> - до переліку включа</w:t>
      </w:r>
      <w:r w:rsidR="00A10D8E" w:rsidRPr="00385E91">
        <w:rPr>
          <w:szCs w:val="20"/>
        </w:rPr>
        <w:t xml:space="preserve">ються публічні інвестиційні </w:t>
      </w:r>
      <w:proofErr w:type="spellStart"/>
      <w:r w:rsidR="00A10D8E" w:rsidRPr="00385E91">
        <w:rPr>
          <w:szCs w:val="20"/>
        </w:rPr>
        <w:t>проє</w:t>
      </w:r>
      <w:r w:rsidRPr="00385E91">
        <w:rPr>
          <w:szCs w:val="20"/>
        </w:rPr>
        <w:t>кти</w:t>
      </w:r>
      <w:proofErr w:type="spellEnd"/>
      <w:r w:rsidRPr="00385E91">
        <w:rPr>
          <w:szCs w:val="20"/>
        </w:rPr>
        <w:t xml:space="preserve"> з на</w:t>
      </w:r>
      <w:r w:rsidR="00A10D8E" w:rsidRPr="00385E91">
        <w:rPr>
          <w:szCs w:val="20"/>
        </w:rPr>
        <w:t xml:space="preserve">йвищими балами </w:t>
      </w:r>
      <w:proofErr w:type="spellStart"/>
      <w:r w:rsidR="00A10D8E" w:rsidRPr="00385E91">
        <w:rPr>
          <w:szCs w:val="20"/>
        </w:rPr>
        <w:t>пріоритизації</w:t>
      </w:r>
      <w:proofErr w:type="spellEnd"/>
      <w:r w:rsidR="00CB4FE4" w:rsidRPr="00385E91">
        <w:rPr>
          <w:szCs w:val="20"/>
        </w:rPr>
        <w:t xml:space="preserve"> в Є</w:t>
      </w:r>
      <w:r w:rsidR="00A10D8E" w:rsidRPr="00385E91">
        <w:rPr>
          <w:szCs w:val="20"/>
        </w:rPr>
        <w:t xml:space="preserve">диному </w:t>
      </w:r>
      <w:proofErr w:type="spellStart"/>
      <w:r w:rsidR="00A10D8E" w:rsidRPr="00385E91">
        <w:rPr>
          <w:szCs w:val="20"/>
        </w:rPr>
        <w:t>проє</w:t>
      </w:r>
      <w:r w:rsidRPr="00385E91">
        <w:rPr>
          <w:szCs w:val="20"/>
        </w:rPr>
        <w:t>ктному</w:t>
      </w:r>
      <w:proofErr w:type="spellEnd"/>
      <w:r w:rsidRPr="00385E91">
        <w:rPr>
          <w:szCs w:val="20"/>
        </w:rPr>
        <w:t xml:space="preserve"> портфелі публічних інвестицій </w:t>
      </w:r>
      <w:r w:rsidR="00CB4FE4" w:rsidRPr="00385E91">
        <w:rPr>
          <w:szCs w:val="20"/>
        </w:rPr>
        <w:t xml:space="preserve">Сумської міської </w:t>
      </w:r>
      <w:r w:rsidRPr="00385E91">
        <w:rPr>
          <w:szCs w:val="20"/>
        </w:rPr>
        <w:t>територіальної громади у в</w:t>
      </w:r>
      <w:r w:rsidR="00CB4FE4" w:rsidRPr="00385E91">
        <w:rPr>
          <w:szCs w:val="20"/>
        </w:rPr>
        <w:t>ідповідній</w:t>
      </w:r>
      <w:r w:rsidRPr="00385E91">
        <w:rPr>
          <w:szCs w:val="20"/>
        </w:rPr>
        <w:t xml:space="preserve"> </w:t>
      </w:r>
      <w:r w:rsidR="00CB4FE4" w:rsidRPr="00385E91">
        <w:rPr>
          <w:szCs w:val="20"/>
        </w:rPr>
        <w:t>галузі (</w:t>
      </w:r>
      <w:r w:rsidRPr="00385E91">
        <w:rPr>
          <w:szCs w:val="20"/>
        </w:rPr>
        <w:t>секторі</w:t>
      </w:r>
      <w:r w:rsidR="00CB4FE4" w:rsidRPr="00385E91">
        <w:rPr>
          <w:szCs w:val="20"/>
        </w:rPr>
        <w:t>)</w:t>
      </w:r>
      <w:r w:rsidRPr="00385E91">
        <w:rPr>
          <w:szCs w:val="20"/>
        </w:rPr>
        <w:t>;</w:t>
      </w:r>
    </w:p>
    <w:p w:rsidR="00CB4FE4" w:rsidRPr="00385E91" w:rsidRDefault="00642904" w:rsidP="00A10D8E">
      <w:pPr>
        <w:pStyle w:val="a9"/>
        <w:widowControl w:val="0"/>
        <w:tabs>
          <w:tab w:val="left" w:pos="993"/>
        </w:tabs>
        <w:autoSpaceDE w:val="0"/>
        <w:autoSpaceDN w:val="0"/>
        <w:ind w:left="0" w:right="123" w:firstLine="709"/>
        <w:contextualSpacing w:val="0"/>
        <w:rPr>
          <w:szCs w:val="20"/>
        </w:rPr>
      </w:pPr>
      <w:r w:rsidRPr="00385E91">
        <w:rPr>
          <w:szCs w:val="20"/>
        </w:rPr>
        <w:sym w:font="Symbol" w:char="F02D"/>
      </w:r>
      <w:r w:rsidRPr="00385E91">
        <w:rPr>
          <w:szCs w:val="20"/>
        </w:rPr>
        <w:t xml:space="preserve"> </w:t>
      </w:r>
      <w:r w:rsidRPr="00385E91">
        <w:rPr>
          <w:b/>
          <w:i/>
          <w:szCs w:val="20"/>
        </w:rPr>
        <w:t>ступінь готовності</w:t>
      </w:r>
      <w:r w:rsidRPr="00385E91">
        <w:rPr>
          <w:szCs w:val="20"/>
        </w:rPr>
        <w:t xml:space="preserve"> - </w:t>
      </w:r>
      <w:r w:rsidR="00CB4FE4" w:rsidRPr="00385E91">
        <w:rPr>
          <w:szCs w:val="20"/>
        </w:rPr>
        <w:t xml:space="preserve">до переліку насамперед включають розпочаті публічні інвестиційні </w:t>
      </w:r>
      <w:proofErr w:type="spellStart"/>
      <w:r w:rsidR="00CB4FE4" w:rsidRPr="00385E91">
        <w:rPr>
          <w:szCs w:val="20"/>
        </w:rPr>
        <w:t>проєкти</w:t>
      </w:r>
      <w:proofErr w:type="spellEnd"/>
      <w:r w:rsidR="00CB4FE4" w:rsidRPr="00385E91">
        <w:rPr>
          <w:szCs w:val="20"/>
        </w:rPr>
        <w:t xml:space="preserve"> та програми публічних інвестицій, стратегічна </w:t>
      </w:r>
      <w:r w:rsidR="00CB4FE4" w:rsidRPr="00385E91">
        <w:rPr>
          <w:szCs w:val="20"/>
        </w:rPr>
        <w:lastRenderedPageBreak/>
        <w:t xml:space="preserve">доцільність яких залишається актуальною, нові публічні інвестиційні </w:t>
      </w:r>
      <w:proofErr w:type="spellStart"/>
      <w:r w:rsidR="00CB4FE4" w:rsidRPr="00385E91">
        <w:rPr>
          <w:szCs w:val="20"/>
        </w:rPr>
        <w:t>проєкти</w:t>
      </w:r>
      <w:proofErr w:type="spellEnd"/>
      <w:r w:rsidR="00CB4FE4" w:rsidRPr="00385E91">
        <w:rPr>
          <w:szCs w:val="20"/>
        </w:rPr>
        <w:t xml:space="preserve">, які мають завершені передінвестиційні дослідження (попереднє техніко-економічне обґрунтування для </w:t>
      </w:r>
      <w:proofErr w:type="spellStart"/>
      <w:r w:rsidR="00CB4FE4" w:rsidRPr="00385E91">
        <w:rPr>
          <w:szCs w:val="20"/>
        </w:rPr>
        <w:t>проєктів</w:t>
      </w:r>
      <w:proofErr w:type="spellEnd"/>
      <w:r w:rsidR="00CB4FE4" w:rsidRPr="00385E91">
        <w:rPr>
          <w:szCs w:val="20"/>
        </w:rPr>
        <w:t xml:space="preserve"> вартістю до 50 млн грн, повне техніко-економічне обґрунтування для </w:t>
      </w:r>
      <w:proofErr w:type="spellStart"/>
      <w:r w:rsidR="00CB4FE4" w:rsidRPr="00385E91">
        <w:rPr>
          <w:szCs w:val="20"/>
        </w:rPr>
        <w:t>проєктів</w:t>
      </w:r>
      <w:proofErr w:type="spellEnd"/>
      <w:r w:rsidR="00CB4FE4" w:rsidRPr="00385E91">
        <w:rPr>
          <w:szCs w:val="20"/>
        </w:rPr>
        <w:t xml:space="preserve"> вартістю понад 50 млн грн), пройшли відповідну оцінку та готові до реалізації, нові публічні інвестиційні </w:t>
      </w:r>
      <w:proofErr w:type="spellStart"/>
      <w:r w:rsidR="00CB4FE4" w:rsidRPr="00385E91">
        <w:rPr>
          <w:szCs w:val="20"/>
        </w:rPr>
        <w:t>проєкти</w:t>
      </w:r>
      <w:proofErr w:type="spellEnd"/>
      <w:r w:rsidR="00CB4FE4" w:rsidRPr="00385E91">
        <w:rPr>
          <w:szCs w:val="20"/>
        </w:rPr>
        <w:t xml:space="preserve"> та програми, які визначено Інвестиційною радою</w:t>
      </w:r>
      <w:r w:rsidR="00336F2C" w:rsidRPr="00385E91">
        <w:rPr>
          <w:szCs w:val="20"/>
        </w:rPr>
        <w:t xml:space="preserve"> Сумської міської територіальної громади </w:t>
      </w:r>
      <w:r w:rsidR="00CB4FE4" w:rsidRPr="00385E91">
        <w:rPr>
          <w:szCs w:val="20"/>
        </w:rPr>
        <w:t xml:space="preserve">пріоритетними для подальшої підготовки, але не відповідають критеріям наявних програм, визначених методологією розподілу </w:t>
      </w:r>
      <w:proofErr w:type="spellStart"/>
      <w:r w:rsidR="00CB4FE4" w:rsidRPr="00385E91">
        <w:rPr>
          <w:szCs w:val="20"/>
        </w:rPr>
        <w:t>проєктів</w:t>
      </w:r>
      <w:proofErr w:type="spellEnd"/>
      <w:r w:rsidR="00CB4FE4" w:rsidRPr="00385E91">
        <w:rPr>
          <w:szCs w:val="20"/>
        </w:rPr>
        <w:t xml:space="preserve"> єдиного портфелю серед програм для підтримки підготовки </w:t>
      </w:r>
      <w:proofErr w:type="spellStart"/>
      <w:r w:rsidR="00CB4FE4" w:rsidRPr="00385E91">
        <w:rPr>
          <w:szCs w:val="20"/>
        </w:rPr>
        <w:t>проєктів</w:t>
      </w:r>
      <w:proofErr w:type="spellEnd"/>
      <w:r w:rsidR="00CB4FE4" w:rsidRPr="00385E91">
        <w:rPr>
          <w:szCs w:val="20"/>
        </w:rPr>
        <w:t>;</w:t>
      </w:r>
    </w:p>
    <w:p w:rsidR="00642904" w:rsidRPr="00385E91" w:rsidRDefault="00642904" w:rsidP="00642904">
      <w:pPr>
        <w:ind w:firstLine="567"/>
        <w:rPr>
          <w:szCs w:val="20"/>
        </w:rPr>
      </w:pPr>
      <w:r w:rsidRPr="00385E91">
        <w:rPr>
          <w:szCs w:val="20"/>
        </w:rPr>
        <w:sym w:font="Symbol" w:char="F02D"/>
      </w:r>
      <w:r w:rsidRPr="00385E91">
        <w:rPr>
          <w:szCs w:val="20"/>
        </w:rPr>
        <w:t xml:space="preserve"> </w:t>
      </w:r>
      <w:r w:rsidRPr="00385E91">
        <w:rPr>
          <w:b/>
          <w:i/>
          <w:szCs w:val="20"/>
        </w:rPr>
        <w:t>наявність відповідного джерела фінансового забезпечення</w:t>
      </w:r>
      <w:r w:rsidRPr="00385E91">
        <w:rPr>
          <w:szCs w:val="20"/>
        </w:rPr>
        <w:t xml:space="preserve"> - до переліку включаються нові програми публічних інвестицій у разі наявності підтвердженого джерела фінансового забезпечення,</w:t>
      </w:r>
      <w:r w:rsidR="00A10D8E" w:rsidRPr="00385E91">
        <w:rPr>
          <w:szCs w:val="20"/>
        </w:rPr>
        <w:t xml:space="preserve"> нові публічні інвестиційні </w:t>
      </w:r>
      <w:proofErr w:type="spellStart"/>
      <w:r w:rsidR="00A10D8E" w:rsidRPr="00385E91">
        <w:rPr>
          <w:szCs w:val="20"/>
        </w:rPr>
        <w:t>проє</w:t>
      </w:r>
      <w:r w:rsidRPr="00385E91">
        <w:rPr>
          <w:szCs w:val="20"/>
        </w:rPr>
        <w:t>кти</w:t>
      </w:r>
      <w:proofErr w:type="spellEnd"/>
      <w:r w:rsidRPr="00385E91">
        <w:rPr>
          <w:szCs w:val="20"/>
        </w:rPr>
        <w:t xml:space="preserve"> - у разі наявності джерела фінансового забезпечення, що відповідає характери</w:t>
      </w:r>
      <w:r w:rsidR="00D24827" w:rsidRPr="00385E91">
        <w:rPr>
          <w:szCs w:val="20"/>
        </w:rPr>
        <w:t xml:space="preserve">стикам такого </w:t>
      </w:r>
      <w:proofErr w:type="spellStart"/>
      <w:r w:rsidR="00D24827" w:rsidRPr="00385E91">
        <w:rPr>
          <w:szCs w:val="20"/>
        </w:rPr>
        <w:t>проє</w:t>
      </w:r>
      <w:r w:rsidR="00336F2C" w:rsidRPr="00385E91">
        <w:rPr>
          <w:szCs w:val="20"/>
        </w:rPr>
        <w:t>кту</w:t>
      </w:r>
      <w:proofErr w:type="spellEnd"/>
      <w:r w:rsidR="00336F2C" w:rsidRPr="00385E91">
        <w:rPr>
          <w:szCs w:val="20"/>
        </w:rPr>
        <w:t xml:space="preserve"> згідно з М</w:t>
      </w:r>
      <w:r w:rsidRPr="00385E91">
        <w:rPr>
          <w:szCs w:val="20"/>
        </w:rPr>
        <w:t>етодикою визначення джерел і механізмів фінансового забезпече</w:t>
      </w:r>
      <w:r w:rsidR="00A10D8E" w:rsidRPr="00385E91">
        <w:rPr>
          <w:szCs w:val="20"/>
        </w:rPr>
        <w:t xml:space="preserve">ння публічних інвестиційних </w:t>
      </w:r>
      <w:proofErr w:type="spellStart"/>
      <w:r w:rsidR="00A10D8E" w:rsidRPr="00385E91">
        <w:rPr>
          <w:szCs w:val="20"/>
        </w:rPr>
        <w:t>проє</w:t>
      </w:r>
      <w:r w:rsidRPr="00385E91">
        <w:rPr>
          <w:szCs w:val="20"/>
        </w:rPr>
        <w:t>ктів</w:t>
      </w:r>
      <w:proofErr w:type="spellEnd"/>
      <w:r w:rsidRPr="00385E91">
        <w:rPr>
          <w:szCs w:val="20"/>
        </w:rPr>
        <w:t xml:space="preserve"> та програм публічних інвестицій, затвердженою </w:t>
      </w:r>
      <w:r w:rsidR="00336F2C" w:rsidRPr="00385E91">
        <w:rPr>
          <w:szCs w:val="20"/>
        </w:rPr>
        <w:t>наказом Міністерства фінансів України від 28 лютого 2025 року № 131.</w:t>
      </w:r>
    </w:p>
    <w:p w:rsidR="00642904" w:rsidRPr="00385E91" w:rsidRDefault="00336F2C" w:rsidP="00642904">
      <w:pPr>
        <w:ind w:firstLine="567"/>
        <w:rPr>
          <w:szCs w:val="20"/>
        </w:rPr>
      </w:pPr>
      <w:r w:rsidRPr="00385E91">
        <w:rPr>
          <w:szCs w:val="20"/>
        </w:rPr>
        <w:t>2</w:t>
      </w:r>
      <w:r w:rsidR="00D62F9C" w:rsidRPr="00385E91">
        <w:rPr>
          <w:szCs w:val="20"/>
        </w:rPr>
        <w:t xml:space="preserve">. </w:t>
      </w:r>
      <w:r w:rsidR="00E0622A" w:rsidRPr="00385E91">
        <w:rPr>
          <w:szCs w:val="20"/>
        </w:rPr>
        <w:t>Го</w:t>
      </w:r>
      <w:r w:rsidR="00A10D8E" w:rsidRPr="00385E91">
        <w:rPr>
          <w:szCs w:val="20"/>
        </w:rPr>
        <w:t xml:space="preserve">ловні розпорядники бюджетних коштів Сумської міської територіальної громади </w:t>
      </w:r>
      <w:r w:rsidR="00D62F9C" w:rsidRPr="00385E91">
        <w:rPr>
          <w:szCs w:val="20"/>
        </w:rPr>
        <w:t xml:space="preserve">подають </w:t>
      </w:r>
      <w:r w:rsidR="00642904" w:rsidRPr="00385E91">
        <w:rPr>
          <w:szCs w:val="20"/>
        </w:rPr>
        <w:t>сформовані перел</w:t>
      </w:r>
      <w:r w:rsidR="00A10D8E" w:rsidRPr="00385E91">
        <w:rPr>
          <w:szCs w:val="20"/>
        </w:rPr>
        <w:t xml:space="preserve">іки публічних інвестиційних </w:t>
      </w:r>
      <w:proofErr w:type="spellStart"/>
      <w:r w:rsidR="00A10D8E" w:rsidRPr="00385E91">
        <w:rPr>
          <w:szCs w:val="20"/>
        </w:rPr>
        <w:t>проє</w:t>
      </w:r>
      <w:r w:rsidR="00642904" w:rsidRPr="00385E91">
        <w:rPr>
          <w:szCs w:val="20"/>
        </w:rPr>
        <w:t>ктів</w:t>
      </w:r>
      <w:proofErr w:type="spellEnd"/>
      <w:r w:rsidR="00642904" w:rsidRPr="00385E91">
        <w:rPr>
          <w:szCs w:val="20"/>
        </w:rPr>
        <w:t xml:space="preserve"> та програм публічних інвестицій разом з обґрунтуванням відповідності</w:t>
      </w:r>
      <w:r w:rsidR="00D62F9C" w:rsidRPr="00385E91">
        <w:rPr>
          <w:szCs w:val="20"/>
        </w:rPr>
        <w:t xml:space="preserve"> критеріям, визначеним пунктом 1 цього Порядку</w:t>
      </w:r>
      <w:r w:rsidR="00A10D8E" w:rsidRPr="00385E91">
        <w:rPr>
          <w:szCs w:val="20"/>
        </w:rPr>
        <w:t>,</w:t>
      </w:r>
      <w:r w:rsidR="00D62F9C" w:rsidRPr="00385E91">
        <w:rPr>
          <w:szCs w:val="20"/>
        </w:rPr>
        <w:t xml:space="preserve"> </w:t>
      </w:r>
      <w:r w:rsidR="00A10D8E" w:rsidRPr="00385E91">
        <w:rPr>
          <w:szCs w:val="20"/>
        </w:rPr>
        <w:t xml:space="preserve">до </w:t>
      </w:r>
      <w:r w:rsidR="00D62F9C" w:rsidRPr="00385E91">
        <w:rPr>
          <w:szCs w:val="20"/>
        </w:rPr>
        <w:t>Департаменту фінансів Сумської міської ради у встановлені Департаментом терміни</w:t>
      </w:r>
      <w:r w:rsidR="00F36946" w:rsidRPr="00385E91">
        <w:rPr>
          <w:szCs w:val="20"/>
        </w:rPr>
        <w:t>.</w:t>
      </w:r>
    </w:p>
    <w:p w:rsidR="00642904" w:rsidRPr="00385E91" w:rsidRDefault="00F36946" w:rsidP="00642904">
      <w:pPr>
        <w:ind w:firstLine="567"/>
        <w:rPr>
          <w:szCs w:val="20"/>
        </w:rPr>
      </w:pPr>
      <w:r w:rsidRPr="00385E91">
        <w:rPr>
          <w:szCs w:val="20"/>
        </w:rPr>
        <w:t>3.</w:t>
      </w:r>
      <w:r w:rsidR="00642904" w:rsidRPr="00385E91">
        <w:rPr>
          <w:szCs w:val="20"/>
        </w:rPr>
        <w:t xml:space="preserve"> </w:t>
      </w:r>
      <w:r w:rsidRPr="00385E91">
        <w:rPr>
          <w:szCs w:val="20"/>
        </w:rPr>
        <w:t>Департамент фінансів Сумської міської ради</w:t>
      </w:r>
      <w:r w:rsidR="00642904" w:rsidRPr="00385E91">
        <w:rPr>
          <w:szCs w:val="20"/>
        </w:rPr>
        <w:t xml:space="preserve"> </w:t>
      </w:r>
      <w:r w:rsidRPr="00385E91">
        <w:rPr>
          <w:szCs w:val="20"/>
        </w:rPr>
        <w:t>здійснює</w:t>
      </w:r>
      <w:r w:rsidR="00642904" w:rsidRPr="00385E91">
        <w:rPr>
          <w:szCs w:val="20"/>
        </w:rPr>
        <w:t xml:space="preserve"> аналіз поданих </w:t>
      </w:r>
      <w:r w:rsidR="002728D6" w:rsidRPr="00385E91">
        <w:rPr>
          <w:szCs w:val="20"/>
        </w:rPr>
        <w:t>головними</w:t>
      </w:r>
      <w:r w:rsidR="00CB0E1C" w:rsidRPr="00385E91">
        <w:rPr>
          <w:szCs w:val="20"/>
        </w:rPr>
        <w:t xml:space="preserve"> розпор</w:t>
      </w:r>
      <w:r w:rsidR="002728D6" w:rsidRPr="00385E91">
        <w:rPr>
          <w:szCs w:val="20"/>
        </w:rPr>
        <w:t>ядниками</w:t>
      </w:r>
      <w:r w:rsidR="00CB0E1C" w:rsidRPr="00385E91">
        <w:rPr>
          <w:szCs w:val="20"/>
        </w:rPr>
        <w:t xml:space="preserve"> бюджетних коштів Сумської міської територіальної громади </w:t>
      </w:r>
      <w:r w:rsidR="00642904" w:rsidRPr="00385E91">
        <w:rPr>
          <w:szCs w:val="20"/>
        </w:rPr>
        <w:t>перелі</w:t>
      </w:r>
      <w:r w:rsidR="00D24827" w:rsidRPr="00385E91">
        <w:rPr>
          <w:szCs w:val="20"/>
        </w:rPr>
        <w:t xml:space="preserve">ків публічних інвестиційних </w:t>
      </w:r>
      <w:proofErr w:type="spellStart"/>
      <w:r w:rsidR="00D24827" w:rsidRPr="00385E91">
        <w:rPr>
          <w:szCs w:val="20"/>
        </w:rPr>
        <w:t>проє</w:t>
      </w:r>
      <w:r w:rsidR="00642904" w:rsidRPr="00385E91">
        <w:rPr>
          <w:szCs w:val="20"/>
        </w:rPr>
        <w:t>ктів</w:t>
      </w:r>
      <w:proofErr w:type="spellEnd"/>
      <w:r w:rsidR="00642904" w:rsidRPr="00385E91">
        <w:rPr>
          <w:szCs w:val="20"/>
        </w:rPr>
        <w:t xml:space="preserve"> та програм публічних інвестицій на відповідність орієнтовному розподілу коштів за основними напрямами публічного інвестування у розрізі сфер діяльнос</w:t>
      </w:r>
      <w:r w:rsidRPr="00385E91">
        <w:rPr>
          <w:szCs w:val="20"/>
        </w:rPr>
        <w:t>ті, інформації, що міститься в Є</w:t>
      </w:r>
      <w:r w:rsidR="005C45A9" w:rsidRPr="00385E91">
        <w:rPr>
          <w:szCs w:val="20"/>
        </w:rPr>
        <w:t xml:space="preserve">диному </w:t>
      </w:r>
      <w:proofErr w:type="spellStart"/>
      <w:r w:rsidR="005C45A9" w:rsidRPr="00385E91">
        <w:rPr>
          <w:szCs w:val="20"/>
        </w:rPr>
        <w:t>проє</w:t>
      </w:r>
      <w:r w:rsidR="00642904" w:rsidRPr="00385E91">
        <w:rPr>
          <w:szCs w:val="20"/>
        </w:rPr>
        <w:t>ктному</w:t>
      </w:r>
      <w:proofErr w:type="spellEnd"/>
      <w:r w:rsidR="00642904" w:rsidRPr="00385E91">
        <w:rPr>
          <w:szCs w:val="20"/>
        </w:rPr>
        <w:t xml:space="preserve"> портфелі публічних інвестицій</w:t>
      </w:r>
      <w:r w:rsidRPr="00385E91">
        <w:rPr>
          <w:szCs w:val="20"/>
        </w:rPr>
        <w:t xml:space="preserve"> Сумської міської територіальної</w:t>
      </w:r>
      <w:r w:rsidR="00642904" w:rsidRPr="00385E91">
        <w:rPr>
          <w:szCs w:val="20"/>
        </w:rPr>
        <w:t xml:space="preserve"> громади, та підходам до визначення джерел і механізмів фінансового забезпечення, а також щодо обґрунтованості зазначеної потреби у фінансовому забезпеченні з огляду на поточний стан та п</w:t>
      </w:r>
      <w:r w:rsidR="005C45A9" w:rsidRPr="00385E91">
        <w:rPr>
          <w:szCs w:val="20"/>
        </w:rPr>
        <w:t xml:space="preserve">лани реалізації відповідних </w:t>
      </w:r>
      <w:proofErr w:type="spellStart"/>
      <w:r w:rsidR="005C45A9" w:rsidRPr="00385E91">
        <w:rPr>
          <w:szCs w:val="20"/>
        </w:rPr>
        <w:t>проє</w:t>
      </w:r>
      <w:r w:rsidR="00642904" w:rsidRPr="00385E91">
        <w:rPr>
          <w:szCs w:val="20"/>
        </w:rPr>
        <w:t>ктів</w:t>
      </w:r>
      <w:proofErr w:type="spellEnd"/>
      <w:r w:rsidR="00642904" w:rsidRPr="00385E91">
        <w:rPr>
          <w:szCs w:val="20"/>
        </w:rPr>
        <w:t xml:space="preserve"> та програм.</w:t>
      </w:r>
    </w:p>
    <w:p w:rsidR="00E523F3" w:rsidRPr="00385E91" w:rsidRDefault="00E523F3" w:rsidP="00F36946">
      <w:pPr>
        <w:ind w:firstLine="567"/>
        <w:jc w:val="center"/>
        <w:rPr>
          <w:b/>
          <w:sz w:val="24"/>
          <w:szCs w:val="24"/>
        </w:rPr>
      </w:pPr>
    </w:p>
    <w:p w:rsidR="00F36946" w:rsidRPr="00385E91" w:rsidRDefault="00F36946" w:rsidP="00F36946">
      <w:pPr>
        <w:ind w:firstLine="567"/>
        <w:jc w:val="center"/>
        <w:rPr>
          <w:b/>
          <w:szCs w:val="20"/>
        </w:rPr>
      </w:pPr>
      <w:r w:rsidRPr="00385E91">
        <w:rPr>
          <w:b/>
          <w:szCs w:val="20"/>
        </w:rPr>
        <w:t>ІІІ</w:t>
      </w:r>
      <w:r w:rsidR="000F1326" w:rsidRPr="00385E91">
        <w:rPr>
          <w:b/>
          <w:szCs w:val="20"/>
        </w:rPr>
        <w:t>.</w:t>
      </w:r>
      <w:r w:rsidRPr="00385E91">
        <w:rPr>
          <w:b/>
          <w:szCs w:val="20"/>
        </w:rPr>
        <w:t xml:space="preserve"> Формування консолідованого переліку публічних інвестиційних </w:t>
      </w:r>
      <w:proofErr w:type="spellStart"/>
      <w:r w:rsidRPr="00385E91">
        <w:rPr>
          <w:b/>
          <w:szCs w:val="20"/>
        </w:rPr>
        <w:t>проєктів</w:t>
      </w:r>
      <w:proofErr w:type="spellEnd"/>
      <w:r w:rsidRPr="00385E91">
        <w:rPr>
          <w:b/>
          <w:szCs w:val="20"/>
        </w:rPr>
        <w:t xml:space="preserve"> та програм публічних інвестицій</w:t>
      </w:r>
    </w:p>
    <w:p w:rsidR="00E523F3" w:rsidRPr="00385E91" w:rsidRDefault="00E523F3" w:rsidP="00F36946">
      <w:pPr>
        <w:ind w:firstLine="567"/>
        <w:jc w:val="center"/>
        <w:rPr>
          <w:b/>
          <w:sz w:val="16"/>
          <w:szCs w:val="16"/>
        </w:rPr>
      </w:pPr>
    </w:p>
    <w:p w:rsidR="00642904" w:rsidRPr="00385E91" w:rsidRDefault="00F36946" w:rsidP="00642904">
      <w:pPr>
        <w:ind w:firstLine="567"/>
        <w:rPr>
          <w:szCs w:val="20"/>
        </w:rPr>
      </w:pPr>
      <w:r w:rsidRPr="00385E91">
        <w:rPr>
          <w:szCs w:val="20"/>
        </w:rPr>
        <w:t>1</w:t>
      </w:r>
      <w:r w:rsidR="00642904" w:rsidRPr="00385E91">
        <w:rPr>
          <w:szCs w:val="20"/>
        </w:rPr>
        <w:t xml:space="preserve">. </w:t>
      </w:r>
      <w:r w:rsidRPr="00385E91">
        <w:rPr>
          <w:szCs w:val="20"/>
        </w:rPr>
        <w:t xml:space="preserve">Департамент фінансів Сумської міської </w:t>
      </w:r>
      <w:r w:rsidR="00642904" w:rsidRPr="00385E91">
        <w:rPr>
          <w:szCs w:val="20"/>
        </w:rPr>
        <w:t xml:space="preserve"> ради за результатами здійсненого аналізу, передбаченого пунктом </w:t>
      </w:r>
      <w:r w:rsidRPr="00385E91">
        <w:rPr>
          <w:szCs w:val="20"/>
        </w:rPr>
        <w:t>3 розділу ІІ</w:t>
      </w:r>
      <w:r w:rsidR="00642904" w:rsidRPr="00385E91">
        <w:rPr>
          <w:szCs w:val="20"/>
        </w:rPr>
        <w:t xml:space="preserve"> цього Порядку, фор</w:t>
      </w:r>
      <w:r w:rsidR="005A4C02" w:rsidRPr="00385E91">
        <w:rPr>
          <w:szCs w:val="20"/>
        </w:rPr>
        <w:t>мує К</w:t>
      </w:r>
      <w:r w:rsidR="00642904" w:rsidRPr="00385E91">
        <w:rPr>
          <w:szCs w:val="20"/>
        </w:rPr>
        <w:t>онсолідований пере</w:t>
      </w:r>
      <w:r w:rsidR="005C45A9" w:rsidRPr="00385E91">
        <w:rPr>
          <w:szCs w:val="20"/>
        </w:rPr>
        <w:t xml:space="preserve">лік публічних інвестиційних </w:t>
      </w:r>
      <w:proofErr w:type="spellStart"/>
      <w:r w:rsidR="005C45A9" w:rsidRPr="00385E91">
        <w:rPr>
          <w:szCs w:val="20"/>
        </w:rPr>
        <w:t>проє</w:t>
      </w:r>
      <w:r w:rsidR="00642904" w:rsidRPr="00385E91">
        <w:rPr>
          <w:szCs w:val="20"/>
        </w:rPr>
        <w:t>ктів</w:t>
      </w:r>
      <w:proofErr w:type="spellEnd"/>
      <w:r w:rsidR="00642904" w:rsidRPr="00385E91">
        <w:rPr>
          <w:szCs w:val="20"/>
        </w:rPr>
        <w:t xml:space="preserve"> т</w:t>
      </w:r>
      <w:r w:rsidR="00533608" w:rsidRPr="00385E91">
        <w:rPr>
          <w:szCs w:val="20"/>
        </w:rPr>
        <w:t>а програм публічних інвестицій Є</w:t>
      </w:r>
      <w:r w:rsidR="005C45A9" w:rsidRPr="00385E91">
        <w:rPr>
          <w:szCs w:val="20"/>
        </w:rPr>
        <w:t xml:space="preserve">диного </w:t>
      </w:r>
      <w:proofErr w:type="spellStart"/>
      <w:r w:rsidR="005C45A9" w:rsidRPr="00385E91">
        <w:rPr>
          <w:szCs w:val="20"/>
        </w:rPr>
        <w:t>проє</w:t>
      </w:r>
      <w:r w:rsidR="00642904" w:rsidRPr="00385E91">
        <w:rPr>
          <w:szCs w:val="20"/>
        </w:rPr>
        <w:t>ктного</w:t>
      </w:r>
      <w:proofErr w:type="spellEnd"/>
      <w:r w:rsidR="00642904" w:rsidRPr="00385E91">
        <w:rPr>
          <w:szCs w:val="20"/>
        </w:rPr>
        <w:t xml:space="preserve"> портфеля публічних інвестицій </w:t>
      </w:r>
      <w:r w:rsidRPr="00385E91">
        <w:rPr>
          <w:szCs w:val="20"/>
        </w:rPr>
        <w:t xml:space="preserve">Сумської міської територіальної </w:t>
      </w:r>
      <w:r w:rsidR="00642904" w:rsidRPr="00385E91">
        <w:rPr>
          <w:szCs w:val="20"/>
        </w:rPr>
        <w:t>громади</w:t>
      </w:r>
      <w:r w:rsidR="00D24827" w:rsidRPr="00385E91">
        <w:rPr>
          <w:szCs w:val="20"/>
        </w:rPr>
        <w:t xml:space="preserve"> (далі </w:t>
      </w:r>
      <w:r w:rsidR="002E070C" w:rsidRPr="00385E91">
        <w:rPr>
          <w:szCs w:val="20"/>
        </w:rPr>
        <w:t>К</w:t>
      </w:r>
      <w:r w:rsidR="00D24827" w:rsidRPr="00385E91">
        <w:rPr>
          <w:szCs w:val="20"/>
        </w:rPr>
        <w:t xml:space="preserve">онсолідований перелік) </w:t>
      </w:r>
      <w:r w:rsidR="00642904" w:rsidRPr="00385E91">
        <w:rPr>
          <w:szCs w:val="20"/>
        </w:rPr>
        <w:t xml:space="preserve"> і розподіл публічних інвестицій на їх підготовку та реалізацію на плановий та два наступні за плановим бюджетні періоди у розрізі джерел і меха</w:t>
      </w:r>
      <w:r w:rsidRPr="00385E91">
        <w:rPr>
          <w:szCs w:val="20"/>
        </w:rPr>
        <w:t>нізмів фінансового забезпечення з</w:t>
      </w:r>
      <w:r w:rsidR="00106455" w:rsidRPr="00385E91">
        <w:rPr>
          <w:szCs w:val="20"/>
        </w:rPr>
        <w:t xml:space="preserve"> урахуванням:</w:t>
      </w:r>
    </w:p>
    <w:p w:rsidR="009F6E0F" w:rsidRPr="00385E91" w:rsidRDefault="009F6E0F" w:rsidP="009F6E0F">
      <w:pPr>
        <w:pStyle w:val="a3"/>
        <w:ind w:right="124" w:firstLine="709"/>
      </w:pPr>
      <w:r w:rsidRPr="00385E91">
        <w:lastRenderedPageBreak/>
        <w:t xml:space="preserve">вимог щодо спрямування не менше ніж 70 відсотків загального обсягу публічних інвестицій на продовження (завершення) реалізації розпочатих публічних інвестиційних </w:t>
      </w:r>
      <w:proofErr w:type="spellStart"/>
      <w:r w:rsidRPr="00385E91">
        <w:t>проєктів</w:t>
      </w:r>
      <w:proofErr w:type="spellEnd"/>
      <w:r w:rsidRPr="00385E91">
        <w:t xml:space="preserve"> відповідно до планів їх реалізації та строків введення в експлуатацію основних засобів;</w:t>
      </w:r>
    </w:p>
    <w:p w:rsidR="009F6E0F" w:rsidRPr="00385E91" w:rsidRDefault="009F6E0F" w:rsidP="009F6E0F">
      <w:pPr>
        <w:pStyle w:val="a3"/>
        <w:ind w:firstLine="709"/>
      </w:pPr>
      <w:r w:rsidRPr="00385E91">
        <w:t>граничного</w:t>
      </w:r>
      <w:r w:rsidRPr="00385E91">
        <w:rPr>
          <w:spacing w:val="40"/>
        </w:rPr>
        <w:t xml:space="preserve"> </w:t>
      </w:r>
      <w:r w:rsidRPr="00385E91">
        <w:t>обсягу</w:t>
      </w:r>
      <w:r w:rsidRPr="00385E91">
        <w:rPr>
          <w:spacing w:val="40"/>
        </w:rPr>
        <w:t xml:space="preserve"> </w:t>
      </w:r>
      <w:r w:rsidRPr="00385E91">
        <w:t>місцевого</w:t>
      </w:r>
      <w:r w:rsidRPr="00385E91">
        <w:rPr>
          <w:spacing w:val="40"/>
        </w:rPr>
        <w:t xml:space="preserve"> </w:t>
      </w:r>
      <w:r w:rsidRPr="00385E91">
        <w:t>боргу</w:t>
      </w:r>
      <w:r w:rsidRPr="00385E91">
        <w:rPr>
          <w:spacing w:val="40"/>
        </w:rPr>
        <w:t xml:space="preserve"> </w:t>
      </w:r>
      <w:r w:rsidRPr="00385E91">
        <w:t>та</w:t>
      </w:r>
      <w:r w:rsidRPr="00385E91">
        <w:rPr>
          <w:spacing w:val="40"/>
        </w:rPr>
        <w:t xml:space="preserve"> </w:t>
      </w:r>
      <w:r w:rsidRPr="00385E91">
        <w:t>гарантованого</w:t>
      </w:r>
      <w:r w:rsidRPr="00385E91">
        <w:rPr>
          <w:spacing w:val="40"/>
        </w:rPr>
        <w:t xml:space="preserve"> </w:t>
      </w:r>
      <w:r w:rsidR="00D24827" w:rsidRPr="00385E91">
        <w:t xml:space="preserve">Сумською </w:t>
      </w:r>
      <w:r w:rsidR="00536202" w:rsidRPr="00385E91">
        <w:t>міською територіальною громадою</w:t>
      </w:r>
      <w:r w:rsidRPr="00385E91">
        <w:rPr>
          <w:spacing w:val="40"/>
        </w:rPr>
        <w:t xml:space="preserve"> </w:t>
      </w:r>
      <w:r w:rsidRPr="00385E91">
        <w:t>боргу;</w:t>
      </w:r>
    </w:p>
    <w:p w:rsidR="009F6E0F" w:rsidRPr="00385E91" w:rsidRDefault="009F6E0F" w:rsidP="009F6E0F">
      <w:pPr>
        <w:pStyle w:val="a3"/>
        <w:ind w:firstLine="709"/>
      </w:pPr>
      <w:r w:rsidRPr="00385E91">
        <w:t>оптимального щорічного боргового навантаження на бюджет Сумської міської територіальної громади;</w:t>
      </w:r>
    </w:p>
    <w:p w:rsidR="009F6E0F" w:rsidRPr="00385E91" w:rsidRDefault="009F6E0F" w:rsidP="009F6E0F">
      <w:pPr>
        <w:pStyle w:val="a3"/>
        <w:ind w:firstLine="709"/>
      </w:pPr>
      <w:r w:rsidRPr="00385E91">
        <w:t>встановлених</w:t>
      </w:r>
      <w:r w:rsidRPr="00385E91">
        <w:rPr>
          <w:spacing w:val="53"/>
          <w:w w:val="150"/>
        </w:rPr>
        <w:t xml:space="preserve"> </w:t>
      </w:r>
      <w:r w:rsidRPr="00385E91">
        <w:t>обсягів</w:t>
      </w:r>
      <w:r w:rsidRPr="00385E91">
        <w:rPr>
          <w:spacing w:val="56"/>
          <w:w w:val="150"/>
        </w:rPr>
        <w:t xml:space="preserve"> </w:t>
      </w:r>
      <w:r w:rsidRPr="00385E91">
        <w:t>щорічних</w:t>
      </w:r>
      <w:r w:rsidRPr="00385E91">
        <w:rPr>
          <w:spacing w:val="56"/>
          <w:w w:val="150"/>
        </w:rPr>
        <w:t xml:space="preserve"> </w:t>
      </w:r>
      <w:r w:rsidRPr="00385E91">
        <w:t>видатків</w:t>
      </w:r>
      <w:r w:rsidRPr="00385E91">
        <w:rPr>
          <w:spacing w:val="56"/>
          <w:w w:val="150"/>
        </w:rPr>
        <w:t xml:space="preserve"> </w:t>
      </w:r>
      <w:r w:rsidRPr="00385E91">
        <w:t>на</w:t>
      </w:r>
      <w:r w:rsidRPr="00385E91">
        <w:rPr>
          <w:spacing w:val="56"/>
          <w:w w:val="150"/>
        </w:rPr>
        <w:t xml:space="preserve"> </w:t>
      </w:r>
      <w:r w:rsidRPr="00385E91">
        <w:t xml:space="preserve">виконання </w:t>
      </w:r>
      <w:r w:rsidRPr="00385E91">
        <w:rPr>
          <w:spacing w:val="-2"/>
        </w:rPr>
        <w:t xml:space="preserve">довгострокових </w:t>
      </w:r>
      <w:r w:rsidRPr="00385E91">
        <w:t xml:space="preserve">зобов’язань у межах державно-приватного партнерства на відповідні бюджетні </w:t>
      </w:r>
      <w:r w:rsidRPr="00385E91">
        <w:rPr>
          <w:spacing w:val="-2"/>
        </w:rPr>
        <w:t>періоди.</w:t>
      </w:r>
    </w:p>
    <w:p w:rsidR="00A31C7E" w:rsidRPr="00385E91" w:rsidRDefault="00A31C7E" w:rsidP="00517090">
      <w:pPr>
        <w:pStyle w:val="a3"/>
        <w:ind w:firstLine="709"/>
      </w:pPr>
      <w:r w:rsidRPr="00385E91">
        <w:t>2</w:t>
      </w:r>
      <w:r w:rsidR="00D24827" w:rsidRPr="00385E91">
        <w:t xml:space="preserve"> </w:t>
      </w:r>
      <w:r w:rsidR="009F6E0F" w:rsidRPr="00385E91">
        <w:t xml:space="preserve">Департамент </w:t>
      </w:r>
      <w:r w:rsidR="00642904" w:rsidRPr="00385E91">
        <w:t xml:space="preserve">фінансів </w:t>
      </w:r>
      <w:r w:rsidR="009F6E0F" w:rsidRPr="00385E91">
        <w:t>Сумської</w:t>
      </w:r>
      <w:r w:rsidR="00642904" w:rsidRPr="00385E91">
        <w:t xml:space="preserve"> міської ради</w:t>
      </w:r>
      <w:r w:rsidR="009F6E0F" w:rsidRPr="00385E91">
        <w:t xml:space="preserve"> </w:t>
      </w:r>
      <w:r w:rsidR="00B81210" w:rsidRPr="00385E91">
        <w:t xml:space="preserve">протягом п’яти робочих днів </w:t>
      </w:r>
      <w:r w:rsidR="009F6E0F" w:rsidRPr="00385E91">
        <w:t xml:space="preserve"> з дня надходження перел</w:t>
      </w:r>
      <w:r w:rsidR="00D24827" w:rsidRPr="00385E91">
        <w:t xml:space="preserve">іку публічних інвестиційних </w:t>
      </w:r>
      <w:proofErr w:type="spellStart"/>
      <w:r w:rsidR="00D24827" w:rsidRPr="00385E91">
        <w:t>проє</w:t>
      </w:r>
      <w:r w:rsidR="009F6E0F" w:rsidRPr="00385E91">
        <w:t>ктів</w:t>
      </w:r>
      <w:proofErr w:type="spellEnd"/>
      <w:r w:rsidR="009F6E0F" w:rsidRPr="00385E91">
        <w:t xml:space="preserve"> та програм публічних інвестицій, поданих відповідно до пункту 2 розділу ІІ Порядку, </w:t>
      </w:r>
      <w:r w:rsidR="00642904" w:rsidRPr="00385E91">
        <w:t xml:space="preserve">подає </w:t>
      </w:r>
      <w:r w:rsidR="000F1326" w:rsidRPr="00385E91">
        <w:t xml:space="preserve">Комісії з питань розподілу публічних інвестицій Сумської міської територіальної громади (далі - Комісія) </w:t>
      </w:r>
      <w:r w:rsidR="002E070C" w:rsidRPr="00385E91">
        <w:t>К</w:t>
      </w:r>
      <w:r w:rsidR="00642904" w:rsidRPr="00385E91">
        <w:t xml:space="preserve">онсолідований перелік </w:t>
      </w:r>
      <w:r w:rsidR="000F1326" w:rsidRPr="00385E91">
        <w:t>за формою згідно з додатком 2 до цього Порядку</w:t>
      </w:r>
      <w:r w:rsidRPr="00385E91">
        <w:t>.</w:t>
      </w:r>
    </w:p>
    <w:p w:rsidR="00A22761" w:rsidRPr="00385E91" w:rsidRDefault="00A22761" w:rsidP="00517090">
      <w:pPr>
        <w:pStyle w:val="a3"/>
        <w:ind w:firstLine="709"/>
        <w:rPr>
          <w:sz w:val="24"/>
          <w:szCs w:val="24"/>
        </w:rPr>
      </w:pPr>
    </w:p>
    <w:p w:rsidR="000F1326" w:rsidRPr="00385E91" w:rsidRDefault="000F1326" w:rsidP="00781DC1">
      <w:pPr>
        <w:ind w:firstLine="567"/>
        <w:jc w:val="center"/>
        <w:rPr>
          <w:b/>
          <w:szCs w:val="20"/>
        </w:rPr>
      </w:pPr>
      <w:r w:rsidRPr="00385E91">
        <w:rPr>
          <w:b/>
          <w:szCs w:val="20"/>
        </w:rPr>
        <w:t>IV. Рішення Комісії з питань розподілу публічних інвестицій</w:t>
      </w:r>
    </w:p>
    <w:p w:rsidR="00E523F3" w:rsidRPr="00385E91" w:rsidRDefault="00E523F3" w:rsidP="00781DC1">
      <w:pPr>
        <w:ind w:firstLine="567"/>
        <w:jc w:val="center"/>
        <w:rPr>
          <w:b/>
          <w:sz w:val="16"/>
          <w:szCs w:val="16"/>
        </w:rPr>
      </w:pPr>
    </w:p>
    <w:p w:rsidR="00642904" w:rsidRPr="00385E91" w:rsidRDefault="000F1326" w:rsidP="00642904">
      <w:pPr>
        <w:ind w:firstLine="567"/>
        <w:rPr>
          <w:szCs w:val="20"/>
        </w:rPr>
      </w:pPr>
      <w:r w:rsidRPr="00385E91">
        <w:rPr>
          <w:szCs w:val="20"/>
        </w:rPr>
        <w:t>1</w:t>
      </w:r>
      <w:r w:rsidR="00642904" w:rsidRPr="00385E91">
        <w:rPr>
          <w:szCs w:val="20"/>
        </w:rPr>
        <w:t>. Комісія на підставі інформації,</w:t>
      </w:r>
      <w:r w:rsidRPr="00385E91">
        <w:rPr>
          <w:szCs w:val="20"/>
        </w:rPr>
        <w:t xml:space="preserve"> отриманої від Департаменту фінансів Сумської міської ради відповідно до пункту 2 </w:t>
      </w:r>
      <w:r w:rsidR="00F3529C" w:rsidRPr="00385E91">
        <w:rPr>
          <w:szCs w:val="20"/>
        </w:rPr>
        <w:t>розділу</w:t>
      </w:r>
      <w:r w:rsidR="005A4C02" w:rsidRPr="00385E91">
        <w:rPr>
          <w:szCs w:val="20"/>
        </w:rPr>
        <w:t xml:space="preserve"> ІІІ </w:t>
      </w:r>
      <w:r w:rsidRPr="00385E91">
        <w:rPr>
          <w:szCs w:val="20"/>
        </w:rPr>
        <w:t>Порядку,</w:t>
      </w:r>
      <w:r w:rsidR="00642904" w:rsidRPr="00385E91">
        <w:rPr>
          <w:szCs w:val="20"/>
        </w:rPr>
        <w:t xml:space="preserve"> у тижневий строк приймає на своєму засіданні рішення щодо розподілу публічних інвестицій на підготовку та реаліза</w:t>
      </w:r>
      <w:r w:rsidR="00D24827" w:rsidRPr="00385E91">
        <w:rPr>
          <w:szCs w:val="20"/>
        </w:rPr>
        <w:t xml:space="preserve">цію публічних інвестиційних </w:t>
      </w:r>
      <w:proofErr w:type="spellStart"/>
      <w:r w:rsidR="00D24827" w:rsidRPr="00385E91">
        <w:rPr>
          <w:szCs w:val="20"/>
        </w:rPr>
        <w:t>проє</w:t>
      </w:r>
      <w:r w:rsidR="00642904" w:rsidRPr="00385E91">
        <w:rPr>
          <w:szCs w:val="20"/>
        </w:rPr>
        <w:t>ктів</w:t>
      </w:r>
      <w:proofErr w:type="spellEnd"/>
      <w:r w:rsidR="00642904" w:rsidRPr="00385E91">
        <w:rPr>
          <w:szCs w:val="20"/>
        </w:rPr>
        <w:t xml:space="preserve"> та програм публічних</w:t>
      </w:r>
      <w:r w:rsidR="00D24827" w:rsidRPr="00385E91">
        <w:rPr>
          <w:szCs w:val="20"/>
        </w:rPr>
        <w:t xml:space="preserve"> інвестицій у розрізі таких </w:t>
      </w:r>
      <w:proofErr w:type="spellStart"/>
      <w:r w:rsidR="00D24827" w:rsidRPr="00385E91">
        <w:rPr>
          <w:szCs w:val="20"/>
        </w:rPr>
        <w:t>проє</w:t>
      </w:r>
      <w:r w:rsidR="00642904" w:rsidRPr="00385E91">
        <w:rPr>
          <w:szCs w:val="20"/>
        </w:rPr>
        <w:t>ктів</w:t>
      </w:r>
      <w:proofErr w:type="spellEnd"/>
      <w:r w:rsidR="00642904" w:rsidRPr="00385E91">
        <w:rPr>
          <w:szCs w:val="20"/>
        </w:rPr>
        <w:t xml:space="preserve"> та програм із зазначенням відповідних джерел і механізмів їх фінансового забезпечення з урахуванням вимог статті </w:t>
      </w:r>
      <w:r w:rsidRPr="00385E91">
        <w:rPr>
          <w:szCs w:val="20"/>
        </w:rPr>
        <w:t>75</w:t>
      </w:r>
      <w:r w:rsidRPr="00385E91">
        <w:rPr>
          <w:sz w:val="32"/>
          <w:szCs w:val="32"/>
          <w:vertAlign w:val="superscript"/>
        </w:rPr>
        <w:t>2</w:t>
      </w:r>
      <w:r w:rsidR="00642904" w:rsidRPr="00385E91">
        <w:rPr>
          <w:szCs w:val="20"/>
        </w:rPr>
        <w:t xml:space="preserve"> Бюджетного кодексу України</w:t>
      </w:r>
      <w:r w:rsidRPr="00385E91">
        <w:rPr>
          <w:szCs w:val="20"/>
        </w:rPr>
        <w:t xml:space="preserve"> та </w:t>
      </w:r>
      <w:r w:rsidR="00F3529C" w:rsidRPr="00385E91">
        <w:rPr>
          <w:szCs w:val="20"/>
        </w:rPr>
        <w:t>пункту 1 розділу ІІІ Порядку.</w:t>
      </w:r>
      <w:r w:rsidR="00642904" w:rsidRPr="00385E91">
        <w:rPr>
          <w:szCs w:val="20"/>
        </w:rPr>
        <w:t xml:space="preserve"> </w:t>
      </w:r>
    </w:p>
    <w:p w:rsidR="00642904" w:rsidRPr="00385E91" w:rsidRDefault="002E070C" w:rsidP="00642904">
      <w:pPr>
        <w:ind w:firstLine="567"/>
        <w:rPr>
          <w:szCs w:val="20"/>
        </w:rPr>
      </w:pPr>
      <w:r w:rsidRPr="00385E91">
        <w:rPr>
          <w:szCs w:val="20"/>
        </w:rPr>
        <w:t>Рішення Комісії та К</w:t>
      </w:r>
      <w:r w:rsidR="00642904" w:rsidRPr="00385E91">
        <w:rPr>
          <w:szCs w:val="20"/>
        </w:rPr>
        <w:t xml:space="preserve">онсолідований перелік розміщуються на офіційному веб-сайті </w:t>
      </w:r>
      <w:r w:rsidR="00C83F7A" w:rsidRPr="00385E91">
        <w:rPr>
          <w:szCs w:val="20"/>
        </w:rPr>
        <w:t>Сумської міської р</w:t>
      </w:r>
      <w:r w:rsidR="00D24827" w:rsidRPr="00385E91">
        <w:rPr>
          <w:szCs w:val="20"/>
        </w:rPr>
        <w:t>ади</w:t>
      </w:r>
      <w:r w:rsidR="00642904" w:rsidRPr="00385E91">
        <w:rPr>
          <w:szCs w:val="20"/>
        </w:rPr>
        <w:t>.</w:t>
      </w:r>
    </w:p>
    <w:p w:rsidR="00642904" w:rsidRPr="00385E91" w:rsidRDefault="00F3529C" w:rsidP="00642904">
      <w:pPr>
        <w:ind w:firstLine="567"/>
        <w:rPr>
          <w:szCs w:val="20"/>
        </w:rPr>
      </w:pPr>
      <w:r w:rsidRPr="00385E91">
        <w:rPr>
          <w:szCs w:val="20"/>
        </w:rPr>
        <w:t>2</w:t>
      </w:r>
      <w:r w:rsidR="00642904" w:rsidRPr="00385E91">
        <w:rPr>
          <w:szCs w:val="20"/>
        </w:rPr>
        <w:t xml:space="preserve">. На підставі рішення Комісії щодо розподілу публічних інвестицій, здійсненого відповідно до пункту </w:t>
      </w:r>
      <w:r w:rsidRPr="00385E91">
        <w:rPr>
          <w:szCs w:val="20"/>
        </w:rPr>
        <w:t xml:space="preserve">1 </w:t>
      </w:r>
      <w:r w:rsidR="003213CC" w:rsidRPr="00385E91">
        <w:rPr>
          <w:szCs w:val="20"/>
        </w:rPr>
        <w:t>цього розділу</w:t>
      </w:r>
      <w:r w:rsidR="00642904" w:rsidRPr="00385E91">
        <w:rPr>
          <w:szCs w:val="20"/>
        </w:rPr>
        <w:t xml:space="preserve">, </w:t>
      </w:r>
      <w:r w:rsidRPr="00385E91">
        <w:rPr>
          <w:szCs w:val="20"/>
        </w:rPr>
        <w:t xml:space="preserve">Департамент </w:t>
      </w:r>
      <w:r w:rsidR="00642904" w:rsidRPr="00385E91">
        <w:rPr>
          <w:szCs w:val="20"/>
        </w:rPr>
        <w:t xml:space="preserve">фінансів </w:t>
      </w:r>
      <w:r w:rsidRPr="00385E91">
        <w:rPr>
          <w:szCs w:val="20"/>
        </w:rPr>
        <w:t>Сумської</w:t>
      </w:r>
      <w:r w:rsidR="00642904" w:rsidRPr="00385E91">
        <w:rPr>
          <w:szCs w:val="20"/>
        </w:rPr>
        <w:t xml:space="preserve"> міської ради доводить до головних розпорядників бюджетних коштів розподілений обсяг публічних інвестицій на підготовку та реалізаці</w:t>
      </w:r>
      <w:r w:rsidR="007444E1" w:rsidRPr="00385E91">
        <w:rPr>
          <w:szCs w:val="20"/>
        </w:rPr>
        <w:t xml:space="preserve">ю публічних інвестиційних </w:t>
      </w:r>
      <w:proofErr w:type="spellStart"/>
      <w:r w:rsidR="007444E1" w:rsidRPr="00385E91">
        <w:rPr>
          <w:szCs w:val="20"/>
        </w:rPr>
        <w:t>проє</w:t>
      </w:r>
      <w:r w:rsidR="00642904" w:rsidRPr="00385E91">
        <w:rPr>
          <w:szCs w:val="20"/>
        </w:rPr>
        <w:t>ктів</w:t>
      </w:r>
      <w:proofErr w:type="spellEnd"/>
      <w:r w:rsidR="00642904" w:rsidRPr="00385E91">
        <w:rPr>
          <w:szCs w:val="20"/>
        </w:rPr>
        <w:t xml:space="preserve"> та програм </w:t>
      </w:r>
      <w:r w:rsidR="00E908F8" w:rsidRPr="00385E91">
        <w:rPr>
          <w:szCs w:val="20"/>
        </w:rPr>
        <w:t>публічних інвестицій, визначений у К</w:t>
      </w:r>
      <w:r w:rsidR="00642904" w:rsidRPr="00385E91">
        <w:rPr>
          <w:szCs w:val="20"/>
        </w:rPr>
        <w:t>онсолідованому переліку для включення його до бюджетних запитів за бюджетними програмами, в межах яких передбачено підготовку та реалізацію відповідних публічних інвестиційни</w:t>
      </w:r>
      <w:r w:rsidR="007444E1" w:rsidRPr="00385E91">
        <w:rPr>
          <w:szCs w:val="20"/>
        </w:rPr>
        <w:t xml:space="preserve">х </w:t>
      </w:r>
      <w:proofErr w:type="spellStart"/>
      <w:r w:rsidR="007444E1" w:rsidRPr="00385E91">
        <w:rPr>
          <w:szCs w:val="20"/>
        </w:rPr>
        <w:t>проє</w:t>
      </w:r>
      <w:r w:rsidR="00642904" w:rsidRPr="00385E91">
        <w:rPr>
          <w:szCs w:val="20"/>
        </w:rPr>
        <w:t>ктів</w:t>
      </w:r>
      <w:proofErr w:type="spellEnd"/>
      <w:r w:rsidR="00642904" w:rsidRPr="00385E91">
        <w:rPr>
          <w:szCs w:val="20"/>
        </w:rPr>
        <w:t xml:space="preserve"> та програм публічних інвестицій.</w:t>
      </w:r>
    </w:p>
    <w:p w:rsidR="00F3529C" w:rsidRPr="00385E91" w:rsidRDefault="00F3529C" w:rsidP="00B84DC9">
      <w:pPr>
        <w:ind w:firstLine="567"/>
        <w:rPr>
          <w:szCs w:val="20"/>
        </w:rPr>
      </w:pPr>
      <w:r w:rsidRPr="00385E91">
        <w:rPr>
          <w:szCs w:val="20"/>
        </w:rPr>
        <w:t>3.</w:t>
      </w:r>
      <w:r w:rsidRPr="00385E91">
        <w:rPr>
          <w:sz w:val="24"/>
          <w:szCs w:val="24"/>
        </w:rPr>
        <w:t xml:space="preserve"> </w:t>
      </w:r>
      <w:r w:rsidR="007444E1" w:rsidRPr="00385E91">
        <w:rPr>
          <w:szCs w:val="20"/>
        </w:rPr>
        <w:t>Обсяг місцевих гарантій, які надають для забезпечення виконання боргових зобов’язань суб’єктів господарювання</w:t>
      </w:r>
      <w:r w:rsidR="00B84DC9" w:rsidRPr="00385E91">
        <w:rPr>
          <w:szCs w:val="20"/>
        </w:rPr>
        <w:t xml:space="preserve"> комунального сектору економіки за кредитами</w:t>
      </w:r>
      <w:r w:rsidR="007444E1" w:rsidRPr="00385E91">
        <w:rPr>
          <w:szCs w:val="20"/>
        </w:rPr>
        <w:t xml:space="preserve">, </w:t>
      </w:r>
      <w:r w:rsidR="00B84DC9" w:rsidRPr="00385E91">
        <w:rPr>
          <w:szCs w:val="20"/>
        </w:rPr>
        <w:t xml:space="preserve"> </w:t>
      </w:r>
      <w:r w:rsidRPr="00385E91">
        <w:rPr>
          <w:szCs w:val="20"/>
        </w:rPr>
        <w:t xml:space="preserve">кошти яких спрямовують на підготовку та реалізацію публічних інвестиційних </w:t>
      </w:r>
      <w:proofErr w:type="spellStart"/>
      <w:r w:rsidRPr="00385E91">
        <w:rPr>
          <w:szCs w:val="20"/>
        </w:rPr>
        <w:t>проєктів</w:t>
      </w:r>
      <w:proofErr w:type="spellEnd"/>
      <w:r w:rsidRPr="00385E91">
        <w:rPr>
          <w:szCs w:val="20"/>
        </w:rPr>
        <w:t xml:space="preserve">, визначається рішенням про бюджет </w:t>
      </w:r>
      <w:r w:rsidR="003213CC" w:rsidRPr="00385E91">
        <w:rPr>
          <w:szCs w:val="20"/>
        </w:rPr>
        <w:t xml:space="preserve">Сумської міської територіальної громади </w:t>
      </w:r>
      <w:r w:rsidRPr="00385E91">
        <w:rPr>
          <w:szCs w:val="20"/>
        </w:rPr>
        <w:t xml:space="preserve"> на відповідний рік згідно з переліком публічних інвестиційних </w:t>
      </w:r>
      <w:proofErr w:type="spellStart"/>
      <w:r w:rsidRPr="00385E91">
        <w:rPr>
          <w:szCs w:val="20"/>
        </w:rPr>
        <w:t>проєктів</w:t>
      </w:r>
      <w:proofErr w:type="spellEnd"/>
      <w:r w:rsidRPr="00385E91">
        <w:rPr>
          <w:szCs w:val="20"/>
        </w:rPr>
        <w:t>, визначеним відповідно до розподілу публічних інвестицій, передбаченого пунктом 1 цього розділу.</w:t>
      </w:r>
    </w:p>
    <w:p w:rsidR="00E523F3" w:rsidRPr="00385E91" w:rsidRDefault="00E523F3" w:rsidP="00F3529C">
      <w:pPr>
        <w:pStyle w:val="a9"/>
        <w:widowControl w:val="0"/>
        <w:tabs>
          <w:tab w:val="left" w:pos="993"/>
        </w:tabs>
        <w:autoSpaceDE w:val="0"/>
        <w:autoSpaceDN w:val="0"/>
        <w:ind w:left="0" w:right="124" w:firstLine="709"/>
        <w:contextualSpacing w:val="0"/>
        <w:rPr>
          <w:sz w:val="24"/>
          <w:szCs w:val="24"/>
        </w:rPr>
      </w:pPr>
    </w:p>
    <w:p w:rsidR="00517090" w:rsidRPr="00385E91" w:rsidRDefault="00781DC1" w:rsidP="00517090">
      <w:pPr>
        <w:ind w:firstLine="567"/>
        <w:jc w:val="center"/>
        <w:rPr>
          <w:b/>
          <w:szCs w:val="20"/>
        </w:rPr>
      </w:pPr>
      <w:r w:rsidRPr="00385E91">
        <w:rPr>
          <w:b/>
          <w:szCs w:val="20"/>
        </w:rPr>
        <w:lastRenderedPageBreak/>
        <w:t xml:space="preserve">V. </w:t>
      </w:r>
      <w:r w:rsidR="00BA249A" w:rsidRPr="00385E91">
        <w:rPr>
          <w:b/>
          <w:szCs w:val="20"/>
        </w:rPr>
        <w:t>Вн</w:t>
      </w:r>
      <w:r w:rsidR="00517090" w:rsidRPr="00385E91">
        <w:rPr>
          <w:b/>
          <w:szCs w:val="20"/>
        </w:rPr>
        <w:t xml:space="preserve">есення змін до консолідованого переліку публічних інвестиційних </w:t>
      </w:r>
      <w:proofErr w:type="spellStart"/>
      <w:r w:rsidR="00517090" w:rsidRPr="00385E91">
        <w:rPr>
          <w:b/>
          <w:szCs w:val="20"/>
        </w:rPr>
        <w:t>проєктів</w:t>
      </w:r>
      <w:proofErr w:type="spellEnd"/>
      <w:r w:rsidR="00517090" w:rsidRPr="00385E91">
        <w:rPr>
          <w:b/>
          <w:szCs w:val="20"/>
        </w:rPr>
        <w:t xml:space="preserve"> та програм публічних інвестицій та здійснення моніторингу стану підготовки та реалізації </w:t>
      </w:r>
    </w:p>
    <w:p w:rsidR="00E523F3" w:rsidRPr="00385E91" w:rsidRDefault="00E523F3" w:rsidP="00517090">
      <w:pPr>
        <w:ind w:firstLine="567"/>
        <w:jc w:val="center"/>
        <w:rPr>
          <w:sz w:val="16"/>
          <w:szCs w:val="16"/>
        </w:rPr>
      </w:pPr>
    </w:p>
    <w:p w:rsidR="00517090" w:rsidRPr="00385E91" w:rsidRDefault="002E070C" w:rsidP="002E070C">
      <w:pPr>
        <w:pStyle w:val="a9"/>
        <w:ind w:left="0" w:firstLine="567"/>
        <w:rPr>
          <w:szCs w:val="20"/>
        </w:rPr>
      </w:pPr>
      <w:r w:rsidRPr="00385E91">
        <w:rPr>
          <w:szCs w:val="20"/>
        </w:rPr>
        <w:t xml:space="preserve">1. </w:t>
      </w:r>
      <w:r w:rsidR="00517090" w:rsidRPr="00385E91">
        <w:rPr>
          <w:szCs w:val="20"/>
        </w:rPr>
        <w:t>Внесення змін до</w:t>
      </w:r>
      <w:r w:rsidRPr="00385E91">
        <w:rPr>
          <w:szCs w:val="20"/>
        </w:rPr>
        <w:t xml:space="preserve"> К</w:t>
      </w:r>
      <w:r w:rsidR="00517090" w:rsidRPr="00385E91">
        <w:rPr>
          <w:szCs w:val="20"/>
        </w:rPr>
        <w:t xml:space="preserve">онсолідованого </w:t>
      </w:r>
      <w:r w:rsidRPr="00385E91">
        <w:rPr>
          <w:szCs w:val="20"/>
        </w:rPr>
        <w:t xml:space="preserve">переліку </w:t>
      </w:r>
      <w:r w:rsidR="00517090" w:rsidRPr="00385E91">
        <w:rPr>
          <w:szCs w:val="20"/>
        </w:rPr>
        <w:t>здійснюється</w:t>
      </w:r>
      <w:r w:rsidRPr="00385E91">
        <w:rPr>
          <w:szCs w:val="20"/>
        </w:rPr>
        <w:t xml:space="preserve"> </w:t>
      </w:r>
      <w:r w:rsidR="00BA249A" w:rsidRPr="00385E91">
        <w:rPr>
          <w:szCs w:val="20"/>
        </w:rPr>
        <w:t xml:space="preserve">за рішенням Комісії у разі </w:t>
      </w:r>
      <w:r w:rsidRPr="00385E91">
        <w:rPr>
          <w:szCs w:val="20"/>
        </w:rPr>
        <w:t>включення</w:t>
      </w:r>
      <w:r w:rsidR="00472FDD" w:rsidRPr="00385E91">
        <w:rPr>
          <w:szCs w:val="20"/>
        </w:rPr>
        <w:t xml:space="preserve"> до переліку </w:t>
      </w:r>
      <w:r w:rsidRPr="00385E91">
        <w:rPr>
          <w:szCs w:val="20"/>
        </w:rPr>
        <w:t xml:space="preserve">додаткових </w:t>
      </w:r>
      <w:proofErr w:type="spellStart"/>
      <w:r w:rsidRPr="00385E91">
        <w:rPr>
          <w:szCs w:val="20"/>
        </w:rPr>
        <w:t>проєктів</w:t>
      </w:r>
      <w:proofErr w:type="spellEnd"/>
      <w:r w:rsidR="005B75F3" w:rsidRPr="00385E91">
        <w:rPr>
          <w:szCs w:val="20"/>
        </w:rPr>
        <w:t xml:space="preserve"> </w:t>
      </w:r>
      <w:r w:rsidR="00472FDD" w:rsidRPr="00385E91">
        <w:rPr>
          <w:szCs w:val="20"/>
        </w:rPr>
        <w:t>з</w:t>
      </w:r>
      <w:r w:rsidR="00E523F3" w:rsidRPr="00385E91">
        <w:rPr>
          <w:szCs w:val="20"/>
        </w:rPr>
        <w:t xml:space="preserve"> Єдиного </w:t>
      </w:r>
      <w:proofErr w:type="spellStart"/>
      <w:r w:rsidR="00E523F3" w:rsidRPr="00385E91">
        <w:rPr>
          <w:szCs w:val="20"/>
        </w:rPr>
        <w:t>проєктного</w:t>
      </w:r>
      <w:proofErr w:type="spellEnd"/>
      <w:r w:rsidR="00E523F3" w:rsidRPr="00385E91">
        <w:rPr>
          <w:szCs w:val="20"/>
        </w:rPr>
        <w:t xml:space="preserve"> портфеля </w:t>
      </w:r>
      <w:r w:rsidR="005B75F3" w:rsidRPr="00385E91">
        <w:rPr>
          <w:szCs w:val="20"/>
        </w:rPr>
        <w:t xml:space="preserve">публічних інвестицій </w:t>
      </w:r>
      <w:r w:rsidR="00E523F3" w:rsidRPr="00385E91">
        <w:rPr>
          <w:szCs w:val="20"/>
        </w:rPr>
        <w:t>Сумської міської територіальної громади,</w:t>
      </w:r>
      <w:r w:rsidR="00472FDD" w:rsidRPr="00385E91">
        <w:rPr>
          <w:szCs w:val="20"/>
        </w:rPr>
        <w:t xml:space="preserve"> </w:t>
      </w:r>
      <w:r w:rsidR="00BF1C84" w:rsidRPr="00385E91">
        <w:rPr>
          <w:szCs w:val="20"/>
        </w:rPr>
        <w:t xml:space="preserve">спрямування </w:t>
      </w:r>
      <w:r w:rsidR="00E60B5F" w:rsidRPr="00385E91">
        <w:rPr>
          <w:szCs w:val="20"/>
        </w:rPr>
        <w:t>додаткового фінансового ресурсу</w:t>
      </w:r>
      <w:r w:rsidR="00316AE0" w:rsidRPr="00385E91">
        <w:rPr>
          <w:szCs w:val="20"/>
        </w:rPr>
        <w:t>,</w:t>
      </w:r>
      <w:r w:rsidR="00F9298B" w:rsidRPr="00385E91">
        <w:rPr>
          <w:szCs w:val="20"/>
        </w:rPr>
        <w:t xml:space="preserve"> або зменшення видатків</w:t>
      </w:r>
      <w:r w:rsidR="00E60B5F" w:rsidRPr="00385E91">
        <w:rPr>
          <w:szCs w:val="20"/>
        </w:rPr>
        <w:t xml:space="preserve"> на реалізацію публічних інвестиційних </w:t>
      </w:r>
      <w:proofErr w:type="spellStart"/>
      <w:r w:rsidR="00E60B5F" w:rsidRPr="00385E91">
        <w:rPr>
          <w:szCs w:val="20"/>
        </w:rPr>
        <w:t>проєктів</w:t>
      </w:r>
      <w:proofErr w:type="spellEnd"/>
      <w:r w:rsidR="00E60B5F" w:rsidRPr="00385E91">
        <w:rPr>
          <w:szCs w:val="20"/>
        </w:rPr>
        <w:t xml:space="preserve"> та програм публічних інвестицій, </w:t>
      </w:r>
      <w:r w:rsidR="00BF1C84" w:rsidRPr="00385E91">
        <w:rPr>
          <w:szCs w:val="20"/>
        </w:rPr>
        <w:t>перерозподілу видатків між</w:t>
      </w:r>
      <w:r w:rsidRPr="00385E91">
        <w:rPr>
          <w:szCs w:val="20"/>
        </w:rPr>
        <w:t xml:space="preserve"> публічними інвестиційними </w:t>
      </w:r>
      <w:proofErr w:type="spellStart"/>
      <w:r w:rsidR="00472FDD" w:rsidRPr="00385E91">
        <w:rPr>
          <w:szCs w:val="20"/>
        </w:rPr>
        <w:t>проєктами</w:t>
      </w:r>
      <w:proofErr w:type="spellEnd"/>
      <w:r w:rsidR="002B13F1" w:rsidRPr="00385E91">
        <w:rPr>
          <w:szCs w:val="20"/>
        </w:rPr>
        <w:t xml:space="preserve"> та програмами публічних інвестицій </w:t>
      </w:r>
      <w:r w:rsidR="00BF1C84" w:rsidRPr="00385E91">
        <w:rPr>
          <w:szCs w:val="20"/>
        </w:rPr>
        <w:t>в межах головного розпорядника бюджетних коштів</w:t>
      </w:r>
      <w:r w:rsidR="00316AE0" w:rsidRPr="00385E91">
        <w:rPr>
          <w:szCs w:val="20"/>
        </w:rPr>
        <w:t xml:space="preserve"> та між </w:t>
      </w:r>
      <w:r w:rsidR="009B4865" w:rsidRPr="00385E91">
        <w:rPr>
          <w:szCs w:val="20"/>
        </w:rPr>
        <w:t>головн</w:t>
      </w:r>
      <w:r w:rsidR="00316AE0" w:rsidRPr="00385E91">
        <w:rPr>
          <w:szCs w:val="20"/>
        </w:rPr>
        <w:t xml:space="preserve">ими </w:t>
      </w:r>
      <w:r w:rsidR="009B4865" w:rsidRPr="00385E91">
        <w:rPr>
          <w:szCs w:val="20"/>
        </w:rPr>
        <w:t>розпорядника</w:t>
      </w:r>
      <w:r w:rsidR="00316AE0" w:rsidRPr="00385E91">
        <w:rPr>
          <w:szCs w:val="20"/>
        </w:rPr>
        <w:t xml:space="preserve">ми </w:t>
      </w:r>
      <w:r w:rsidR="009B4865" w:rsidRPr="00385E91">
        <w:rPr>
          <w:szCs w:val="20"/>
        </w:rPr>
        <w:t xml:space="preserve">бюджетних коштів </w:t>
      </w:r>
      <w:r w:rsidR="00472FDD" w:rsidRPr="00385E91">
        <w:rPr>
          <w:szCs w:val="20"/>
        </w:rPr>
        <w:t xml:space="preserve">в </w:t>
      </w:r>
      <w:r w:rsidR="00BA249A" w:rsidRPr="00385E91">
        <w:rPr>
          <w:szCs w:val="20"/>
        </w:rPr>
        <w:t xml:space="preserve">установленому </w:t>
      </w:r>
      <w:r w:rsidR="00472FDD" w:rsidRPr="00385E91">
        <w:rPr>
          <w:szCs w:val="20"/>
        </w:rPr>
        <w:t>порядку</w:t>
      </w:r>
      <w:r w:rsidR="00385E91" w:rsidRPr="00385E91">
        <w:rPr>
          <w:szCs w:val="20"/>
        </w:rPr>
        <w:t>.</w:t>
      </w:r>
    </w:p>
    <w:p w:rsidR="00642904" w:rsidRPr="00385E91" w:rsidRDefault="00517090" w:rsidP="00CC6899">
      <w:pPr>
        <w:pStyle w:val="a9"/>
        <w:ind w:left="0" w:firstLine="567"/>
        <w:rPr>
          <w:szCs w:val="20"/>
        </w:rPr>
      </w:pPr>
      <w:r w:rsidRPr="00385E91">
        <w:rPr>
          <w:szCs w:val="20"/>
        </w:rPr>
        <w:t>2.</w:t>
      </w:r>
      <w:r w:rsidR="00CC6899" w:rsidRPr="00385E91">
        <w:rPr>
          <w:szCs w:val="20"/>
        </w:rPr>
        <w:t xml:space="preserve"> </w:t>
      </w:r>
      <w:r w:rsidR="00642904" w:rsidRPr="00385E91">
        <w:rPr>
          <w:szCs w:val="20"/>
        </w:rPr>
        <w:t xml:space="preserve">Якщо протягом бюджетного періоду за результатами піврічного моніторингу стану підготовки та реалізації публічних інвестиційних проектів та програм публічних інвестицій встановлено порушення строків розроблення або реалізації проекту чи програми, або підвищення вартості проекту чи програми більш як на 10 відсотків, або виявлено невідповідність предмета </w:t>
      </w:r>
      <w:proofErr w:type="spellStart"/>
      <w:r w:rsidR="00642904" w:rsidRPr="00385E91">
        <w:rPr>
          <w:szCs w:val="20"/>
        </w:rPr>
        <w:t>закупівель</w:t>
      </w:r>
      <w:proofErr w:type="spellEnd"/>
      <w:r w:rsidR="00642904" w:rsidRPr="00385E91">
        <w:rPr>
          <w:szCs w:val="20"/>
        </w:rPr>
        <w:t xml:space="preserve"> меті та кінцевому результату, якого планується досягти в результаті реалізації проекту або програми, такі проекти або програми за пропозицією</w:t>
      </w:r>
      <w:r w:rsidR="00781DC1" w:rsidRPr="00385E91">
        <w:rPr>
          <w:szCs w:val="20"/>
        </w:rPr>
        <w:t xml:space="preserve"> Департаменту фінансів Сумської міської ради </w:t>
      </w:r>
      <w:r w:rsidR="00642904" w:rsidRPr="00385E91">
        <w:rPr>
          <w:szCs w:val="20"/>
        </w:rPr>
        <w:t xml:space="preserve"> </w:t>
      </w:r>
      <w:r w:rsidR="00781DC1" w:rsidRPr="00385E91">
        <w:rPr>
          <w:szCs w:val="20"/>
        </w:rPr>
        <w:t>чи інших членів К</w:t>
      </w:r>
      <w:r w:rsidR="00642904" w:rsidRPr="00385E91">
        <w:rPr>
          <w:szCs w:val="20"/>
        </w:rPr>
        <w:t xml:space="preserve">омісії підлягають повторному розгляду в установленому порядку. Рішення Комісії є підставою для розгляду питання про </w:t>
      </w:r>
      <w:r w:rsidR="00186597" w:rsidRPr="00385E91">
        <w:rPr>
          <w:szCs w:val="20"/>
        </w:rPr>
        <w:t>передання</w:t>
      </w:r>
      <w:r w:rsidR="00642904" w:rsidRPr="00385E91">
        <w:rPr>
          <w:szCs w:val="20"/>
        </w:rPr>
        <w:t xml:space="preserve"> коштів </w:t>
      </w:r>
      <w:r w:rsidR="00781DC1" w:rsidRPr="00385E91">
        <w:rPr>
          <w:szCs w:val="20"/>
        </w:rPr>
        <w:t xml:space="preserve">бюджету Сумської міської територіальної громади </w:t>
      </w:r>
      <w:r w:rsidR="00642904" w:rsidRPr="00385E91">
        <w:rPr>
          <w:szCs w:val="20"/>
        </w:rPr>
        <w:t>на публічні інвестиційні проекти та програми публічних інвестицій, які реалізуються у визначені строки, у встановленому бюджетним законодавством порядку.</w:t>
      </w:r>
    </w:p>
    <w:p w:rsidR="00CC6899" w:rsidRPr="00385E91" w:rsidRDefault="00517090" w:rsidP="00CC6899">
      <w:pPr>
        <w:pStyle w:val="a9"/>
        <w:ind w:left="0" w:firstLine="567"/>
        <w:rPr>
          <w:szCs w:val="20"/>
        </w:rPr>
      </w:pPr>
      <w:r w:rsidRPr="00385E91">
        <w:rPr>
          <w:szCs w:val="20"/>
        </w:rPr>
        <w:t>3</w:t>
      </w:r>
      <w:r w:rsidR="00CC6899" w:rsidRPr="00385E91">
        <w:rPr>
          <w:szCs w:val="20"/>
        </w:rPr>
        <w:t xml:space="preserve">. У разі встановлення за результатами піврічного моніторингу випадків </w:t>
      </w:r>
      <w:proofErr w:type="spellStart"/>
      <w:r w:rsidR="00CC6899" w:rsidRPr="00385E91">
        <w:rPr>
          <w:szCs w:val="20"/>
        </w:rPr>
        <w:t>ненабрання</w:t>
      </w:r>
      <w:proofErr w:type="spellEnd"/>
      <w:r w:rsidR="00CC6899" w:rsidRPr="00385E91">
        <w:rPr>
          <w:szCs w:val="20"/>
        </w:rPr>
        <w:t xml:space="preserve"> чинності кредитними угодами в межах підготовки та реалізації публічних інвестиційних </w:t>
      </w:r>
      <w:proofErr w:type="spellStart"/>
      <w:r w:rsidR="00CC6899" w:rsidRPr="00385E91">
        <w:rPr>
          <w:szCs w:val="20"/>
        </w:rPr>
        <w:t>проєктів</w:t>
      </w:r>
      <w:proofErr w:type="spellEnd"/>
      <w:r w:rsidR="00CC6899" w:rsidRPr="00385E91">
        <w:rPr>
          <w:szCs w:val="20"/>
        </w:rPr>
        <w:t xml:space="preserve">, під які було передбачено надання місцевих гарантій відповідно до розподілу, здійсненого відповідно до пункту 2 розділу IV цього Порядку, за пропозицією Департаменту фінансів Сумської міської ради Комісія може переглядати перелік таких </w:t>
      </w:r>
      <w:proofErr w:type="spellStart"/>
      <w:r w:rsidR="00CC6899" w:rsidRPr="00385E91">
        <w:rPr>
          <w:szCs w:val="20"/>
        </w:rPr>
        <w:t>проєктів</w:t>
      </w:r>
      <w:proofErr w:type="spellEnd"/>
      <w:r w:rsidR="00CC6899" w:rsidRPr="00385E91">
        <w:rPr>
          <w:szCs w:val="20"/>
        </w:rPr>
        <w:t xml:space="preserve">. За результатами такого перегляду та у разі наявності в Єдиному </w:t>
      </w:r>
      <w:proofErr w:type="spellStart"/>
      <w:r w:rsidR="00CC6899" w:rsidRPr="00385E91">
        <w:rPr>
          <w:szCs w:val="20"/>
        </w:rPr>
        <w:t>проєктному</w:t>
      </w:r>
      <w:proofErr w:type="spellEnd"/>
      <w:r w:rsidR="00CC6899" w:rsidRPr="00385E91">
        <w:rPr>
          <w:szCs w:val="20"/>
        </w:rPr>
        <w:t xml:space="preserve"> портфелі публічних інвестицій Сумської міської територіальної громади </w:t>
      </w:r>
      <w:proofErr w:type="spellStart"/>
      <w:r w:rsidR="00CC6899" w:rsidRPr="00385E91">
        <w:rPr>
          <w:szCs w:val="20"/>
        </w:rPr>
        <w:t>проєктів</w:t>
      </w:r>
      <w:proofErr w:type="spellEnd"/>
      <w:r w:rsidR="00CC6899" w:rsidRPr="00385E91">
        <w:rPr>
          <w:szCs w:val="20"/>
        </w:rPr>
        <w:t xml:space="preserve">, під які може бути надано місцеві гарантії і які перебувають на відповідній стадії готовності, Комісія може приймати рішення про заміну або включення додаткових </w:t>
      </w:r>
      <w:proofErr w:type="spellStart"/>
      <w:r w:rsidR="00CC6899" w:rsidRPr="00385E91">
        <w:rPr>
          <w:szCs w:val="20"/>
        </w:rPr>
        <w:t>проєктів</w:t>
      </w:r>
      <w:proofErr w:type="spellEnd"/>
      <w:r w:rsidR="00CC6899" w:rsidRPr="00385E91">
        <w:rPr>
          <w:szCs w:val="20"/>
        </w:rPr>
        <w:t xml:space="preserve"> до переліку з дотриманням граничного обсягу надання місцевих гарантій, встановленого рішенням про бюджет Сумської міської територіальної громади  на відповідний бюджетний період.</w:t>
      </w:r>
    </w:p>
    <w:p w:rsidR="00642904" w:rsidRPr="00385E91" w:rsidRDefault="00BF1C84" w:rsidP="00642904">
      <w:pPr>
        <w:ind w:firstLine="567"/>
        <w:rPr>
          <w:szCs w:val="20"/>
        </w:rPr>
      </w:pPr>
      <w:r w:rsidRPr="00385E91">
        <w:rPr>
          <w:szCs w:val="20"/>
        </w:rPr>
        <w:t>4</w:t>
      </w:r>
      <w:r w:rsidR="00642904" w:rsidRPr="00385E91">
        <w:rPr>
          <w:szCs w:val="20"/>
        </w:rPr>
        <w:t xml:space="preserve">. Якщо під час реалізації публічних інвестиційних проектів та програм публічних інвестицій виявлено та документально підтверджено факт шахрайства чи вчинення корупційного або пов’язаного з корупцією правопорушення стосовно підготовки або реалізації таких проектів та програм, </w:t>
      </w:r>
      <w:r w:rsidR="00CC6899" w:rsidRPr="00385E91">
        <w:rPr>
          <w:szCs w:val="20"/>
        </w:rPr>
        <w:t xml:space="preserve">Департамент фінансів Сумської міської ради </w:t>
      </w:r>
      <w:r w:rsidR="00642904" w:rsidRPr="00385E91">
        <w:rPr>
          <w:szCs w:val="20"/>
        </w:rPr>
        <w:t xml:space="preserve">за рішенням Комісії готує та подає міжрегіональним територіальним органам Державної аудиторської служби </w:t>
      </w:r>
      <w:r w:rsidR="00642904" w:rsidRPr="00385E91">
        <w:rPr>
          <w:szCs w:val="20"/>
        </w:rPr>
        <w:lastRenderedPageBreak/>
        <w:t>України пропозиції для проведення фінансового аудиту за публічними інвестиційними проектами та програмами публічних інвестицій.</w:t>
      </w:r>
    </w:p>
    <w:p w:rsidR="00642904" w:rsidRPr="00385E91" w:rsidRDefault="00642904" w:rsidP="00642904">
      <w:pPr>
        <w:ind w:firstLine="567"/>
        <w:rPr>
          <w:szCs w:val="20"/>
        </w:rPr>
      </w:pPr>
    </w:p>
    <w:p w:rsidR="00642904" w:rsidRPr="00385E91" w:rsidRDefault="00642904" w:rsidP="00642904">
      <w:pPr>
        <w:ind w:firstLine="567"/>
        <w:rPr>
          <w:szCs w:val="20"/>
        </w:rPr>
      </w:pPr>
    </w:p>
    <w:p w:rsidR="00862B67" w:rsidRPr="00385E91" w:rsidRDefault="00862B67" w:rsidP="00642904">
      <w:pPr>
        <w:ind w:firstLine="567"/>
        <w:rPr>
          <w:szCs w:val="20"/>
        </w:rPr>
      </w:pPr>
    </w:p>
    <w:p w:rsidR="008F3A15" w:rsidRPr="00385E91" w:rsidRDefault="008F3A15" w:rsidP="00642904">
      <w:pPr>
        <w:rPr>
          <w:b/>
        </w:rPr>
      </w:pPr>
      <w:r w:rsidRPr="00385E91">
        <w:rPr>
          <w:b/>
        </w:rPr>
        <w:t>Перший заступник д</w:t>
      </w:r>
      <w:r w:rsidR="006519A3" w:rsidRPr="00385E91">
        <w:rPr>
          <w:b/>
        </w:rPr>
        <w:t>иректор</w:t>
      </w:r>
      <w:r w:rsidRPr="00385E91">
        <w:rPr>
          <w:b/>
        </w:rPr>
        <w:t>а</w:t>
      </w:r>
    </w:p>
    <w:p w:rsidR="00642904" w:rsidRPr="00385E91" w:rsidRDefault="006519A3" w:rsidP="00642904">
      <w:pPr>
        <w:rPr>
          <w:b/>
        </w:rPr>
      </w:pPr>
      <w:r w:rsidRPr="00385E91">
        <w:rPr>
          <w:b/>
        </w:rPr>
        <w:t>Департаменту</w:t>
      </w:r>
      <w:r w:rsidR="008F3A15" w:rsidRPr="00385E91">
        <w:rPr>
          <w:b/>
        </w:rPr>
        <w:t xml:space="preserve"> фінансів</w:t>
      </w:r>
    </w:p>
    <w:p w:rsidR="00642904" w:rsidRPr="00385E91" w:rsidRDefault="006519A3" w:rsidP="00642904">
      <w:r w:rsidRPr="00385E91">
        <w:rPr>
          <w:b/>
        </w:rPr>
        <w:t>Сумської міської ради</w:t>
      </w:r>
      <w:r w:rsidR="00642904" w:rsidRPr="00385E91">
        <w:rPr>
          <w:b/>
        </w:rPr>
        <w:tab/>
      </w:r>
      <w:r w:rsidR="00642904" w:rsidRPr="00385E91">
        <w:rPr>
          <w:b/>
        </w:rPr>
        <w:tab/>
      </w:r>
      <w:r w:rsidR="00642904" w:rsidRPr="00385E91">
        <w:rPr>
          <w:b/>
        </w:rPr>
        <w:tab/>
      </w:r>
      <w:r w:rsidR="00862B67" w:rsidRPr="00385E91">
        <w:rPr>
          <w:b/>
        </w:rPr>
        <w:t xml:space="preserve">            </w:t>
      </w:r>
      <w:r w:rsidR="00642904" w:rsidRPr="00385E91">
        <w:rPr>
          <w:b/>
        </w:rPr>
        <w:tab/>
        <w:t xml:space="preserve"> </w:t>
      </w:r>
      <w:r w:rsidR="008F3A15" w:rsidRPr="00385E91">
        <w:rPr>
          <w:b/>
        </w:rPr>
        <w:t xml:space="preserve">       Олена ЯКИМОВИЧ</w:t>
      </w:r>
    </w:p>
    <w:p w:rsidR="00443E0F" w:rsidRPr="00385E91" w:rsidRDefault="00443E0F" w:rsidP="00996337">
      <w:pPr>
        <w:jc w:val="center"/>
        <w:rPr>
          <w:b/>
          <w:sz w:val="40"/>
          <w:szCs w:val="20"/>
          <w:u w:val="single"/>
          <w:lang w:eastAsia="uk-UA"/>
        </w:rPr>
      </w:pPr>
    </w:p>
    <w:p w:rsidR="008321A3" w:rsidRPr="00385E91" w:rsidRDefault="008321A3" w:rsidP="00996337">
      <w:pPr>
        <w:jc w:val="center"/>
        <w:rPr>
          <w:b/>
          <w:sz w:val="40"/>
          <w:szCs w:val="20"/>
          <w:u w:val="single"/>
          <w:lang w:eastAsia="uk-UA"/>
        </w:rPr>
      </w:pPr>
    </w:p>
    <w:p w:rsidR="008321A3" w:rsidRPr="00385E91" w:rsidRDefault="008321A3" w:rsidP="00996337">
      <w:pPr>
        <w:jc w:val="center"/>
        <w:rPr>
          <w:b/>
          <w:sz w:val="40"/>
          <w:szCs w:val="20"/>
          <w:u w:val="single"/>
          <w:lang w:eastAsia="uk-UA"/>
        </w:rPr>
      </w:pPr>
    </w:p>
    <w:p w:rsidR="00316AE0" w:rsidRPr="00385E91" w:rsidRDefault="00316AE0" w:rsidP="00996337">
      <w:pPr>
        <w:jc w:val="center"/>
        <w:rPr>
          <w:b/>
          <w:sz w:val="40"/>
          <w:szCs w:val="20"/>
          <w:u w:val="single"/>
          <w:lang w:eastAsia="uk-UA"/>
        </w:rPr>
      </w:pPr>
    </w:p>
    <w:p w:rsidR="00316AE0" w:rsidRPr="00385E91" w:rsidRDefault="00316AE0" w:rsidP="00996337">
      <w:pPr>
        <w:jc w:val="center"/>
        <w:rPr>
          <w:b/>
          <w:sz w:val="40"/>
          <w:szCs w:val="20"/>
          <w:u w:val="single"/>
          <w:lang w:eastAsia="uk-UA"/>
        </w:rPr>
      </w:pPr>
    </w:p>
    <w:p w:rsidR="00316AE0" w:rsidRPr="00385E91" w:rsidRDefault="00316AE0" w:rsidP="00996337">
      <w:pPr>
        <w:jc w:val="center"/>
        <w:rPr>
          <w:b/>
          <w:sz w:val="40"/>
          <w:szCs w:val="20"/>
          <w:u w:val="single"/>
          <w:lang w:eastAsia="uk-UA"/>
        </w:rPr>
      </w:pPr>
    </w:p>
    <w:p w:rsidR="00316AE0" w:rsidRPr="00385E91" w:rsidRDefault="00316AE0" w:rsidP="00996337">
      <w:pPr>
        <w:jc w:val="center"/>
        <w:rPr>
          <w:b/>
          <w:sz w:val="40"/>
          <w:szCs w:val="20"/>
          <w:u w:val="single"/>
          <w:lang w:eastAsia="uk-UA"/>
        </w:rPr>
      </w:pPr>
    </w:p>
    <w:p w:rsidR="00316AE0" w:rsidRPr="00385E91" w:rsidRDefault="00316AE0" w:rsidP="00996337">
      <w:pPr>
        <w:jc w:val="center"/>
        <w:rPr>
          <w:b/>
          <w:sz w:val="40"/>
          <w:szCs w:val="20"/>
          <w:u w:val="single"/>
          <w:lang w:eastAsia="uk-UA"/>
        </w:rPr>
      </w:pPr>
    </w:p>
    <w:p w:rsidR="00316AE0" w:rsidRPr="00385E91" w:rsidRDefault="00316AE0" w:rsidP="00996337">
      <w:pPr>
        <w:jc w:val="center"/>
        <w:rPr>
          <w:b/>
          <w:sz w:val="40"/>
          <w:szCs w:val="20"/>
          <w:u w:val="single"/>
          <w:lang w:eastAsia="uk-UA"/>
        </w:rPr>
      </w:pPr>
    </w:p>
    <w:p w:rsidR="00316AE0" w:rsidRPr="00385E91" w:rsidRDefault="00316AE0" w:rsidP="00996337">
      <w:pPr>
        <w:jc w:val="center"/>
        <w:rPr>
          <w:b/>
          <w:sz w:val="40"/>
          <w:szCs w:val="20"/>
          <w:u w:val="single"/>
          <w:lang w:eastAsia="uk-UA"/>
        </w:rPr>
      </w:pPr>
    </w:p>
    <w:p w:rsidR="00316AE0" w:rsidRPr="00385E91" w:rsidRDefault="00316AE0" w:rsidP="00996337">
      <w:pPr>
        <w:jc w:val="center"/>
        <w:rPr>
          <w:b/>
          <w:sz w:val="40"/>
          <w:szCs w:val="20"/>
          <w:u w:val="single"/>
          <w:lang w:eastAsia="uk-UA"/>
        </w:rPr>
      </w:pPr>
    </w:p>
    <w:p w:rsidR="00316AE0" w:rsidRPr="00385E91" w:rsidRDefault="00316AE0" w:rsidP="00996337">
      <w:pPr>
        <w:jc w:val="center"/>
        <w:rPr>
          <w:b/>
          <w:sz w:val="40"/>
          <w:szCs w:val="20"/>
          <w:u w:val="single"/>
          <w:lang w:eastAsia="uk-UA"/>
        </w:rPr>
      </w:pPr>
    </w:p>
    <w:p w:rsidR="00316AE0" w:rsidRPr="00385E91" w:rsidRDefault="00316AE0" w:rsidP="00996337">
      <w:pPr>
        <w:jc w:val="center"/>
        <w:rPr>
          <w:b/>
          <w:sz w:val="40"/>
          <w:szCs w:val="20"/>
          <w:u w:val="single"/>
          <w:lang w:eastAsia="uk-UA"/>
        </w:rPr>
      </w:pPr>
    </w:p>
    <w:p w:rsidR="00316AE0" w:rsidRPr="00385E91" w:rsidRDefault="00316AE0" w:rsidP="00996337">
      <w:pPr>
        <w:jc w:val="center"/>
        <w:rPr>
          <w:b/>
          <w:sz w:val="40"/>
          <w:szCs w:val="20"/>
          <w:u w:val="single"/>
          <w:lang w:eastAsia="uk-UA"/>
        </w:rPr>
      </w:pPr>
    </w:p>
    <w:p w:rsidR="00316AE0" w:rsidRPr="00385E91" w:rsidRDefault="00316AE0" w:rsidP="00996337">
      <w:pPr>
        <w:jc w:val="center"/>
        <w:rPr>
          <w:b/>
          <w:sz w:val="40"/>
          <w:szCs w:val="20"/>
          <w:u w:val="single"/>
          <w:lang w:eastAsia="uk-UA"/>
        </w:rPr>
      </w:pPr>
    </w:p>
    <w:p w:rsidR="00316AE0" w:rsidRPr="00385E91" w:rsidRDefault="00316AE0" w:rsidP="00996337">
      <w:pPr>
        <w:jc w:val="center"/>
        <w:rPr>
          <w:b/>
          <w:sz w:val="40"/>
          <w:szCs w:val="20"/>
          <w:u w:val="single"/>
          <w:lang w:eastAsia="uk-UA"/>
        </w:rPr>
      </w:pPr>
    </w:p>
    <w:p w:rsidR="00316AE0" w:rsidRPr="00385E91" w:rsidRDefault="00316AE0" w:rsidP="00996337">
      <w:pPr>
        <w:jc w:val="center"/>
        <w:rPr>
          <w:b/>
          <w:sz w:val="40"/>
          <w:szCs w:val="20"/>
          <w:u w:val="single"/>
          <w:lang w:eastAsia="uk-UA"/>
        </w:rPr>
      </w:pPr>
    </w:p>
    <w:p w:rsidR="00316AE0" w:rsidRPr="00385E91" w:rsidRDefault="00316AE0" w:rsidP="00996337">
      <w:pPr>
        <w:jc w:val="center"/>
        <w:rPr>
          <w:b/>
          <w:sz w:val="40"/>
          <w:szCs w:val="20"/>
          <w:u w:val="single"/>
          <w:lang w:eastAsia="uk-UA"/>
        </w:rPr>
      </w:pPr>
    </w:p>
    <w:p w:rsidR="00316AE0" w:rsidRPr="00385E91" w:rsidRDefault="00316AE0" w:rsidP="00996337">
      <w:pPr>
        <w:jc w:val="center"/>
        <w:rPr>
          <w:b/>
          <w:sz w:val="40"/>
          <w:szCs w:val="20"/>
          <w:u w:val="single"/>
          <w:lang w:eastAsia="uk-UA"/>
        </w:rPr>
      </w:pPr>
    </w:p>
    <w:p w:rsidR="00316AE0" w:rsidRPr="00385E91" w:rsidRDefault="00316AE0" w:rsidP="00996337">
      <w:pPr>
        <w:jc w:val="center"/>
        <w:rPr>
          <w:b/>
          <w:sz w:val="40"/>
          <w:szCs w:val="20"/>
          <w:u w:val="single"/>
          <w:lang w:eastAsia="uk-UA"/>
        </w:rPr>
      </w:pPr>
    </w:p>
    <w:p w:rsidR="00316AE0" w:rsidRPr="00385E91" w:rsidRDefault="00316AE0" w:rsidP="00996337">
      <w:pPr>
        <w:jc w:val="center"/>
        <w:rPr>
          <w:b/>
          <w:sz w:val="40"/>
          <w:szCs w:val="20"/>
          <w:u w:val="single"/>
          <w:lang w:eastAsia="uk-UA"/>
        </w:rPr>
      </w:pPr>
    </w:p>
    <w:p w:rsidR="00316AE0" w:rsidRPr="00385E91" w:rsidRDefault="00316AE0" w:rsidP="00996337">
      <w:pPr>
        <w:jc w:val="center"/>
        <w:rPr>
          <w:b/>
          <w:sz w:val="40"/>
          <w:szCs w:val="20"/>
          <w:u w:val="single"/>
          <w:lang w:eastAsia="uk-UA"/>
        </w:rPr>
      </w:pPr>
    </w:p>
    <w:p w:rsidR="00316AE0" w:rsidRPr="00385E91" w:rsidRDefault="00316AE0" w:rsidP="00996337">
      <w:pPr>
        <w:jc w:val="center"/>
        <w:rPr>
          <w:b/>
          <w:sz w:val="40"/>
          <w:szCs w:val="20"/>
          <w:u w:val="single"/>
          <w:lang w:eastAsia="uk-UA"/>
        </w:rPr>
      </w:pPr>
    </w:p>
    <w:p w:rsidR="00316AE0" w:rsidRPr="00385E91" w:rsidRDefault="00316AE0" w:rsidP="00996337">
      <w:pPr>
        <w:jc w:val="center"/>
        <w:rPr>
          <w:b/>
          <w:sz w:val="40"/>
          <w:szCs w:val="20"/>
          <w:u w:val="single"/>
          <w:lang w:eastAsia="uk-UA"/>
        </w:rPr>
      </w:pPr>
    </w:p>
    <w:p w:rsidR="00316AE0" w:rsidRPr="00385E91" w:rsidRDefault="00316AE0" w:rsidP="00996337">
      <w:pPr>
        <w:jc w:val="center"/>
        <w:rPr>
          <w:b/>
          <w:sz w:val="40"/>
          <w:szCs w:val="20"/>
          <w:u w:val="single"/>
          <w:lang w:eastAsia="uk-UA"/>
        </w:rPr>
        <w:sectPr w:rsidR="00316AE0" w:rsidRPr="00385E91" w:rsidSect="00C621E0">
          <w:headerReference w:type="default" r:id="rId10"/>
          <w:headerReference w:type="first" r:id="rId11"/>
          <w:pgSz w:w="11906" w:h="16838"/>
          <w:pgMar w:top="993" w:right="567" w:bottom="851" w:left="1701" w:header="709" w:footer="709" w:gutter="0"/>
          <w:cols w:space="708"/>
          <w:titlePg/>
          <w:docGrid w:linePitch="381"/>
        </w:sectPr>
      </w:pPr>
    </w:p>
    <w:p w:rsidR="00316AE0" w:rsidRPr="00385E91" w:rsidRDefault="00316AE0" w:rsidP="00316AE0">
      <w:pPr>
        <w:keepNext/>
        <w:keepLines/>
        <w:ind w:left="10080"/>
        <w:jc w:val="left"/>
        <w:rPr>
          <w:noProof/>
          <w:sz w:val="20"/>
          <w:szCs w:val="20"/>
        </w:rPr>
      </w:pPr>
      <w:bookmarkStart w:id="8" w:name="n104"/>
      <w:bookmarkEnd w:id="8"/>
      <w:r w:rsidRPr="00385E91">
        <w:rPr>
          <w:noProof/>
          <w:sz w:val="20"/>
          <w:szCs w:val="20"/>
        </w:rPr>
        <w:lastRenderedPageBreak/>
        <w:t xml:space="preserve">Додаток 1 </w:t>
      </w:r>
    </w:p>
    <w:p w:rsidR="00316AE0" w:rsidRPr="00385E91" w:rsidRDefault="00316AE0" w:rsidP="00316AE0">
      <w:pPr>
        <w:keepNext/>
        <w:keepLines/>
        <w:ind w:left="7920" w:firstLine="720"/>
        <w:jc w:val="left"/>
        <w:rPr>
          <w:noProof/>
          <w:sz w:val="20"/>
          <w:szCs w:val="20"/>
        </w:rPr>
      </w:pPr>
      <w:r w:rsidRPr="00385E91">
        <w:rPr>
          <w:noProof/>
          <w:sz w:val="20"/>
          <w:szCs w:val="20"/>
        </w:rPr>
        <w:t xml:space="preserve">       </w:t>
      </w:r>
      <w:r w:rsidRPr="00385E91">
        <w:rPr>
          <w:noProof/>
          <w:sz w:val="20"/>
          <w:szCs w:val="20"/>
        </w:rPr>
        <w:tab/>
      </w:r>
      <w:r w:rsidRPr="00385E91">
        <w:rPr>
          <w:noProof/>
          <w:sz w:val="20"/>
          <w:szCs w:val="20"/>
        </w:rPr>
        <w:tab/>
        <w:t xml:space="preserve">   до Порядку розподілу коштів бюджету </w:t>
      </w:r>
    </w:p>
    <w:p w:rsidR="00316AE0" w:rsidRPr="00385E91" w:rsidRDefault="00316AE0" w:rsidP="00316AE0">
      <w:pPr>
        <w:keepNext/>
        <w:keepLines/>
        <w:ind w:left="9360" w:firstLine="720"/>
        <w:jc w:val="left"/>
        <w:rPr>
          <w:noProof/>
          <w:sz w:val="20"/>
          <w:szCs w:val="20"/>
        </w:rPr>
      </w:pPr>
      <w:r w:rsidRPr="00385E91">
        <w:rPr>
          <w:noProof/>
          <w:sz w:val="20"/>
          <w:szCs w:val="20"/>
        </w:rPr>
        <w:t xml:space="preserve">Сумської  міської територіальної громади </w:t>
      </w:r>
    </w:p>
    <w:p w:rsidR="00316AE0" w:rsidRPr="00385E91" w:rsidRDefault="00316AE0" w:rsidP="00316AE0">
      <w:pPr>
        <w:keepNext/>
        <w:keepLines/>
        <w:ind w:left="9360" w:firstLine="720"/>
        <w:jc w:val="left"/>
        <w:rPr>
          <w:noProof/>
          <w:sz w:val="20"/>
          <w:szCs w:val="20"/>
        </w:rPr>
      </w:pPr>
      <w:r w:rsidRPr="00385E91">
        <w:rPr>
          <w:noProof/>
          <w:sz w:val="20"/>
          <w:szCs w:val="20"/>
        </w:rPr>
        <w:t xml:space="preserve">на підготовку та реалізацію публічних інвестиційних </w:t>
      </w:r>
    </w:p>
    <w:p w:rsidR="00316AE0" w:rsidRPr="00385E91" w:rsidRDefault="00316AE0" w:rsidP="00316AE0">
      <w:pPr>
        <w:keepNext/>
        <w:keepLines/>
        <w:ind w:left="8640"/>
        <w:jc w:val="left"/>
        <w:rPr>
          <w:noProof/>
          <w:sz w:val="20"/>
          <w:szCs w:val="20"/>
        </w:rPr>
      </w:pPr>
      <w:r w:rsidRPr="00385E91">
        <w:rPr>
          <w:noProof/>
          <w:sz w:val="20"/>
          <w:szCs w:val="20"/>
        </w:rPr>
        <w:t xml:space="preserve">         </w:t>
      </w:r>
      <w:r w:rsidRPr="00385E91">
        <w:rPr>
          <w:noProof/>
          <w:sz w:val="20"/>
          <w:szCs w:val="20"/>
        </w:rPr>
        <w:tab/>
      </w:r>
      <w:r w:rsidRPr="00385E91">
        <w:rPr>
          <w:noProof/>
          <w:sz w:val="20"/>
          <w:szCs w:val="20"/>
        </w:rPr>
        <w:tab/>
        <w:t xml:space="preserve">   проєктів та програм публічних інвестицій</w:t>
      </w:r>
    </w:p>
    <w:p w:rsidR="00316AE0" w:rsidRPr="00385E91" w:rsidRDefault="00316AE0" w:rsidP="00316AE0">
      <w:pPr>
        <w:keepNext/>
        <w:keepLines/>
        <w:ind w:left="8640"/>
        <w:jc w:val="left"/>
        <w:rPr>
          <w:noProof/>
          <w:sz w:val="20"/>
          <w:szCs w:val="20"/>
        </w:rPr>
      </w:pPr>
      <w:r w:rsidRPr="00385E91">
        <w:rPr>
          <w:noProof/>
          <w:sz w:val="20"/>
          <w:szCs w:val="20"/>
        </w:rPr>
        <w:t xml:space="preserve">                             (пункт 1 розділу ІІ)</w:t>
      </w:r>
    </w:p>
    <w:tbl>
      <w:tblPr>
        <w:tblW w:w="16938" w:type="dxa"/>
        <w:tblInd w:w="-426" w:type="dxa"/>
        <w:tblLayout w:type="fixed"/>
        <w:tblLook w:val="04A0" w:firstRow="1" w:lastRow="0" w:firstColumn="1" w:lastColumn="0" w:noHBand="0" w:noVBand="1"/>
      </w:tblPr>
      <w:tblGrid>
        <w:gridCol w:w="552"/>
        <w:gridCol w:w="14"/>
        <w:gridCol w:w="2"/>
        <w:gridCol w:w="384"/>
        <w:gridCol w:w="251"/>
        <w:gridCol w:w="178"/>
        <w:gridCol w:w="293"/>
        <w:gridCol w:w="170"/>
        <w:gridCol w:w="1126"/>
        <w:gridCol w:w="291"/>
        <w:gridCol w:w="34"/>
        <w:gridCol w:w="30"/>
        <w:gridCol w:w="4"/>
        <w:gridCol w:w="492"/>
        <w:gridCol w:w="463"/>
        <w:gridCol w:w="30"/>
        <w:gridCol w:w="4"/>
        <w:gridCol w:w="219"/>
        <w:gridCol w:w="147"/>
        <w:gridCol w:w="711"/>
        <w:gridCol w:w="41"/>
        <w:gridCol w:w="4"/>
        <w:gridCol w:w="1081"/>
        <w:gridCol w:w="152"/>
        <w:gridCol w:w="29"/>
        <w:gridCol w:w="4"/>
        <w:gridCol w:w="522"/>
        <w:gridCol w:w="158"/>
        <w:gridCol w:w="29"/>
        <w:gridCol w:w="4"/>
        <w:gridCol w:w="380"/>
        <w:gridCol w:w="15"/>
        <w:gridCol w:w="25"/>
        <w:gridCol w:w="4"/>
        <w:gridCol w:w="802"/>
        <w:gridCol w:w="30"/>
        <w:gridCol w:w="25"/>
        <w:gridCol w:w="4"/>
        <w:gridCol w:w="803"/>
        <w:gridCol w:w="567"/>
        <w:gridCol w:w="20"/>
        <w:gridCol w:w="22"/>
        <w:gridCol w:w="4"/>
        <w:gridCol w:w="63"/>
        <w:gridCol w:w="4"/>
        <w:gridCol w:w="518"/>
        <w:gridCol w:w="709"/>
        <w:gridCol w:w="790"/>
        <w:gridCol w:w="10"/>
        <w:gridCol w:w="4"/>
        <w:gridCol w:w="87"/>
        <w:gridCol w:w="4"/>
        <w:gridCol w:w="222"/>
        <w:gridCol w:w="10"/>
        <w:gridCol w:w="4"/>
        <w:gridCol w:w="92"/>
        <w:gridCol w:w="4"/>
        <w:gridCol w:w="704"/>
        <w:gridCol w:w="4"/>
        <w:gridCol w:w="87"/>
        <w:gridCol w:w="4"/>
        <w:gridCol w:w="617"/>
        <w:gridCol w:w="372"/>
        <w:gridCol w:w="4"/>
        <w:gridCol w:w="234"/>
        <w:gridCol w:w="4"/>
        <w:gridCol w:w="94"/>
        <w:gridCol w:w="138"/>
        <w:gridCol w:w="146"/>
        <w:gridCol w:w="4"/>
        <w:gridCol w:w="232"/>
        <w:gridCol w:w="4"/>
        <w:gridCol w:w="40"/>
        <w:gridCol w:w="287"/>
        <w:gridCol w:w="222"/>
        <w:gridCol w:w="4"/>
        <w:gridCol w:w="40"/>
        <w:gridCol w:w="192"/>
        <w:gridCol w:w="4"/>
        <w:gridCol w:w="90"/>
        <w:gridCol w:w="128"/>
        <w:gridCol w:w="14"/>
        <w:gridCol w:w="4"/>
        <w:gridCol w:w="22"/>
        <w:gridCol w:w="213"/>
        <w:gridCol w:w="40"/>
        <w:gridCol w:w="51"/>
        <w:gridCol w:w="298"/>
      </w:tblGrid>
      <w:tr w:rsidR="00316AE0" w:rsidRPr="00385E91" w:rsidTr="003F5DDF">
        <w:trPr>
          <w:gridAfter w:val="70"/>
          <w:wAfter w:w="12401" w:type="dxa"/>
          <w:trHeight w:val="85"/>
        </w:trPr>
        <w:tc>
          <w:tcPr>
            <w:tcW w:w="952" w:type="dxa"/>
            <w:gridSpan w:val="4"/>
            <w:tcBorders>
              <w:top w:val="nil"/>
              <w:left w:val="nil"/>
              <w:bottom w:val="nil"/>
              <w:right w:val="nil"/>
            </w:tcBorders>
          </w:tcPr>
          <w:p w:rsidR="00316AE0" w:rsidRPr="00385E91" w:rsidRDefault="00316AE0" w:rsidP="003F5DDF">
            <w:pPr>
              <w:jc w:val="center"/>
              <w:rPr>
                <w:color w:val="000000"/>
                <w:lang w:eastAsia="uk-UA"/>
              </w:rPr>
            </w:pPr>
          </w:p>
        </w:tc>
        <w:tc>
          <w:tcPr>
            <w:tcW w:w="251" w:type="dxa"/>
            <w:tcBorders>
              <w:top w:val="nil"/>
              <w:left w:val="nil"/>
              <w:bottom w:val="nil"/>
              <w:right w:val="nil"/>
            </w:tcBorders>
            <w:shd w:val="clear" w:color="auto" w:fill="auto"/>
            <w:noWrap/>
            <w:vAlign w:val="bottom"/>
            <w:hideMark/>
          </w:tcPr>
          <w:p w:rsidR="00316AE0" w:rsidRPr="00385E91" w:rsidRDefault="00316AE0" w:rsidP="003F5DDF">
            <w:pPr>
              <w:jc w:val="center"/>
              <w:rPr>
                <w:color w:val="000000"/>
                <w:lang w:eastAsia="uk-UA"/>
              </w:rPr>
            </w:pPr>
          </w:p>
        </w:tc>
        <w:tc>
          <w:tcPr>
            <w:tcW w:w="471" w:type="dxa"/>
            <w:gridSpan w:val="2"/>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1587" w:type="dxa"/>
            <w:gridSpan w:val="3"/>
            <w:tcBorders>
              <w:top w:val="nil"/>
              <w:left w:val="nil"/>
              <w:bottom w:val="nil"/>
              <w:right w:val="nil"/>
            </w:tcBorders>
          </w:tcPr>
          <w:p w:rsidR="00316AE0" w:rsidRPr="00385E91" w:rsidRDefault="00316AE0" w:rsidP="003F5DDF">
            <w:pPr>
              <w:jc w:val="left"/>
              <w:rPr>
                <w:sz w:val="20"/>
                <w:szCs w:val="20"/>
                <w:lang w:eastAsia="uk-UA"/>
              </w:rPr>
            </w:pPr>
          </w:p>
        </w:tc>
        <w:tc>
          <w:tcPr>
            <w:tcW w:w="1276" w:type="dxa"/>
            <w:gridSpan w:val="8"/>
            <w:tcBorders>
              <w:top w:val="nil"/>
              <w:left w:val="nil"/>
              <w:bottom w:val="nil"/>
              <w:right w:val="nil"/>
            </w:tcBorders>
          </w:tcPr>
          <w:p w:rsidR="00316AE0" w:rsidRPr="00385E91" w:rsidRDefault="00316AE0" w:rsidP="003F5DDF">
            <w:pPr>
              <w:jc w:val="left"/>
              <w:rPr>
                <w:sz w:val="20"/>
                <w:szCs w:val="20"/>
                <w:lang w:eastAsia="uk-UA"/>
              </w:rPr>
            </w:pPr>
          </w:p>
        </w:tc>
      </w:tr>
      <w:tr w:rsidR="00316AE0" w:rsidRPr="00385E91" w:rsidTr="003F5DDF">
        <w:trPr>
          <w:gridAfter w:val="8"/>
          <w:wAfter w:w="770" w:type="dxa"/>
          <w:trHeight w:val="360"/>
        </w:trPr>
        <w:tc>
          <w:tcPr>
            <w:tcW w:w="16168" w:type="dxa"/>
            <w:gridSpan w:val="80"/>
            <w:tcBorders>
              <w:top w:val="nil"/>
              <w:left w:val="nil"/>
              <w:bottom w:val="nil"/>
            </w:tcBorders>
          </w:tcPr>
          <w:p w:rsidR="00316AE0" w:rsidRPr="00385E91" w:rsidRDefault="00316AE0" w:rsidP="003F5DDF">
            <w:pPr>
              <w:jc w:val="center"/>
              <w:rPr>
                <w:color w:val="000000"/>
                <w:lang w:eastAsia="uk-UA"/>
              </w:rPr>
            </w:pPr>
            <w:r w:rsidRPr="00385E91">
              <w:rPr>
                <w:color w:val="000000"/>
                <w:lang w:eastAsia="uk-UA"/>
              </w:rPr>
              <w:t xml:space="preserve">Перелік розпочатих та нових інвестиційних </w:t>
            </w:r>
            <w:proofErr w:type="spellStart"/>
            <w:r w:rsidRPr="00385E91">
              <w:rPr>
                <w:color w:val="000000"/>
                <w:lang w:eastAsia="uk-UA"/>
              </w:rPr>
              <w:t>проєктів</w:t>
            </w:r>
            <w:proofErr w:type="spellEnd"/>
            <w:r w:rsidRPr="00385E91">
              <w:rPr>
                <w:color w:val="000000"/>
                <w:lang w:eastAsia="uk-UA"/>
              </w:rPr>
              <w:t xml:space="preserve"> та програм публічних інвестицій</w:t>
            </w:r>
          </w:p>
          <w:p w:rsidR="00316AE0" w:rsidRPr="00385E91" w:rsidRDefault="00316AE0" w:rsidP="003F5DDF">
            <w:pPr>
              <w:jc w:val="center"/>
              <w:rPr>
                <w:color w:val="000000"/>
                <w:lang w:eastAsia="uk-UA"/>
              </w:rPr>
            </w:pPr>
            <w:r w:rsidRPr="00385E91">
              <w:rPr>
                <w:color w:val="000000"/>
                <w:lang w:eastAsia="uk-UA"/>
              </w:rPr>
              <w:t>_____________________</w:t>
            </w:r>
            <w:r w:rsidRPr="00385E91">
              <w:rPr>
                <w:color w:val="000000"/>
                <w:u w:val="single"/>
                <w:lang w:eastAsia="uk-UA"/>
              </w:rPr>
              <w:t>________________________________________________________________</w:t>
            </w:r>
            <w:r w:rsidRPr="00385E91">
              <w:rPr>
                <w:color w:val="000000"/>
                <w:lang w:eastAsia="uk-UA"/>
              </w:rPr>
              <w:t>____________________</w:t>
            </w:r>
          </w:p>
          <w:p w:rsidR="00316AE0" w:rsidRPr="00385E91" w:rsidRDefault="00316AE0" w:rsidP="005A286C">
            <w:pPr>
              <w:jc w:val="center"/>
              <w:rPr>
                <w:sz w:val="20"/>
                <w:szCs w:val="20"/>
                <w:lang w:eastAsia="uk-UA"/>
              </w:rPr>
            </w:pPr>
            <w:r w:rsidRPr="00385E91">
              <w:rPr>
                <w:sz w:val="20"/>
                <w:szCs w:val="20"/>
              </w:rPr>
              <w:t>(головний розпорядник бюджетних коштів Сумської міської територіальної громади)</w:t>
            </w:r>
          </w:p>
        </w:tc>
      </w:tr>
      <w:tr w:rsidR="00316AE0" w:rsidRPr="00385E91" w:rsidTr="003F5DDF">
        <w:trPr>
          <w:gridAfter w:val="1"/>
          <w:wAfter w:w="298" w:type="dxa"/>
          <w:trHeight w:val="68"/>
        </w:trPr>
        <w:tc>
          <w:tcPr>
            <w:tcW w:w="566" w:type="dxa"/>
            <w:gridSpan w:val="2"/>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1278" w:type="dxa"/>
            <w:gridSpan w:val="6"/>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1451" w:type="dxa"/>
            <w:gridSpan w:val="3"/>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989" w:type="dxa"/>
            <w:gridSpan w:val="4"/>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1111" w:type="dxa"/>
            <w:gridSpan w:val="5"/>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1278" w:type="dxa"/>
            <w:gridSpan w:val="4"/>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713" w:type="dxa"/>
            <w:gridSpan w:val="4"/>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428" w:type="dxa"/>
            <w:gridSpan w:val="4"/>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861" w:type="dxa"/>
            <w:gridSpan w:val="4"/>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1419" w:type="dxa"/>
            <w:gridSpan w:val="5"/>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2110" w:type="dxa"/>
            <w:gridSpan w:val="7"/>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327" w:type="dxa"/>
            <w:gridSpan w:val="5"/>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814" w:type="dxa"/>
            <w:gridSpan w:val="5"/>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1084" w:type="dxa"/>
            <w:gridSpan w:val="5"/>
            <w:tcBorders>
              <w:top w:val="nil"/>
              <w:left w:val="nil"/>
              <w:bottom w:val="nil"/>
              <w:right w:val="nil"/>
            </w:tcBorders>
            <w:shd w:val="clear" w:color="auto" w:fill="auto"/>
            <w:noWrap/>
            <w:vAlign w:val="bottom"/>
            <w:hideMark/>
          </w:tcPr>
          <w:p w:rsidR="00316AE0" w:rsidRPr="00385E91" w:rsidRDefault="00316AE0" w:rsidP="003F5DDF">
            <w:pPr>
              <w:ind w:right="-870"/>
              <w:jc w:val="left"/>
              <w:rPr>
                <w:sz w:val="20"/>
                <w:szCs w:val="20"/>
                <w:lang w:eastAsia="uk-UA"/>
              </w:rPr>
            </w:pPr>
          </w:p>
        </w:tc>
        <w:tc>
          <w:tcPr>
            <w:tcW w:w="238" w:type="dxa"/>
            <w:gridSpan w:val="2"/>
            <w:tcBorders>
              <w:top w:val="nil"/>
              <w:left w:val="nil"/>
              <w:bottom w:val="nil"/>
              <w:right w:val="nil"/>
            </w:tcBorders>
          </w:tcPr>
          <w:p w:rsidR="00316AE0" w:rsidRPr="00385E91" w:rsidRDefault="00316AE0" w:rsidP="003F5DDF">
            <w:pPr>
              <w:jc w:val="left"/>
              <w:rPr>
                <w:sz w:val="20"/>
                <w:szCs w:val="20"/>
                <w:lang w:eastAsia="uk-UA"/>
              </w:rPr>
            </w:pPr>
          </w:p>
        </w:tc>
        <w:tc>
          <w:tcPr>
            <w:tcW w:w="382" w:type="dxa"/>
            <w:gridSpan w:val="4"/>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236" w:type="dxa"/>
            <w:gridSpan w:val="2"/>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553" w:type="dxa"/>
            <w:gridSpan w:val="4"/>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236" w:type="dxa"/>
            <w:gridSpan w:val="3"/>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566" w:type="dxa"/>
            <w:gridSpan w:val="9"/>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r>
      <w:tr w:rsidR="00316AE0" w:rsidRPr="00385E91" w:rsidTr="003F5DDF">
        <w:trPr>
          <w:gridAfter w:val="8"/>
          <w:wAfter w:w="770" w:type="dxa"/>
          <w:cantSplit/>
          <w:trHeight w:val="1200"/>
        </w:trPr>
        <w:tc>
          <w:tcPr>
            <w:tcW w:w="55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316AE0" w:rsidRPr="00385E91" w:rsidRDefault="00316AE0" w:rsidP="003F5DDF">
            <w:pPr>
              <w:ind w:left="113" w:right="113"/>
              <w:jc w:val="center"/>
              <w:rPr>
                <w:color w:val="000000"/>
                <w:sz w:val="20"/>
                <w:szCs w:val="20"/>
                <w:lang w:eastAsia="uk-UA"/>
              </w:rPr>
            </w:pPr>
            <w:r w:rsidRPr="00385E91">
              <w:rPr>
                <w:color w:val="000000"/>
                <w:sz w:val="20"/>
                <w:szCs w:val="20"/>
                <w:lang w:eastAsia="uk-UA"/>
              </w:rPr>
              <w:t>Порядковий номер</w:t>
            </w:r>
          </w:p>
        </w:tc>
        <w:tc>
          <w:tcPr>
            <w:tcW w:w="829" w:type="dxa"/>
            <w:gridSpan w:val="5"/>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316AE0" w:rsidRPr="00385E91" w:rsidRDefault="00316AE0" w:rsidP="003F5DDF">
            <w:pPr>
              <w:ind w:left="113" w:right="113"/>
              <w:jc w:val="center"/>
              <w:rPr>
                <w:color w:val="000000"/>
                <w:sz w:val="20"/>
                <w:szCs w:val="20"/>
                <w:lang w:eastAsia="uk-UA"/>
              </w:rPr>
            </w:pPr>
            <w:r w:rsidRPr="00385E91">
              <w:rPr>
                <w:color w:val="000000"/>
                <w:sz w:val="20"/>
                <w:szCs w:val="20"/>
                <w:lang w:eastAsia="uk-UA"/>
              </w:rPr>
              <w:t>Унікальний ідентифікатор публічного інвестиційного проекту/програми публічних інвестицій</w:t>
            </w:r>
          </w:p>
        </w:tc>
        <w:tc>
          <w:tcPr>
            <w:tcW w:w="158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16AE0" w:rsidRPr="00385E91" w:rsidRDefault="00316AE0" w:rsidP="003F5DDF">
            <w:pPr>
              <w:jc w:val="center"/>
              <w:rPr>
                <w:color w:val="000000"/>
                <w:sz w:val="20"/>
                <w:szCs w:val="20"/>
                <w:lang w:eastAsia="uk-UA"/>
              </w:rPr>
            </w:pPr>
            <w:r w:rsidRPr="00385E91">
              <w:rPr>
                <w:color w:val="000000"/>
                <w:sz w:val="20"/>
                <w:szCs w:val="20"/>
                <w:lang w:eastAsia="uk-UA"/>
              </w:rPr>
              <w:t>Назва публічного інвестиційного проекту/програми публічних інвестицій</w:t>
            </w:r>
          </w:p>
        </w:tc>
        <w:tc>
          <w:tcPr>
            <w:tcW w:w="85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16AE0" w:rsidRPr="00385E91" w:rsidRDefault="00316AE0" w:rsidP="003F5DDF">
            <w:pPr>
              <w:jc w:val="center"/>
              <w:rPr>
                <w:color w:val="000000"/>
                <w:sz w:val="20"/>
                <w:szCs w:val="20"/>
                <w:lang w:eastAsia="uk-UA"/>
              </w:rPr>
            </w:pPr>
            <w:r w:rsidRPr="00385E91">
              <w:rPr>
                <w:color w:val="000000"/>
                <w:sz w:val="20"/>
                <w:szCs w:val="20"/>
                <w:lang w:eastAsia="uk-UA"/>
              </w:rPr>
              <w:t>Галузь/сектор</w:t>
            </w:r>
          </w:p>
        </w:tc>
        <w:tc>
          <w:tcPr>
            <w:tcW w:w="863" w:type="dxa"/>
            <w:gridSpan w:val="5"/>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316AE0" w:rsidRPr="00385E91" w:rsidRDefault="00316AE0" w:rsidP="003F5DDF">
            <w:pPr>
              <w:ind w:left="113" w:right="113"/>
              <w:jc w:val="center"/>
              <w:rPr>
                <w:color w:val="000000"/>
                <w:sz w:val="20"/>
                <w:szCs w:val="20"/>
                <w:lang w:eastAsia="uk-UA"/>
              </w:rPr>
            </w:pPr>
            <w:r w:rsidRPr="00385E91">
              <w:rPr>
                <w:color w:val="000000"/>
                <w:sz w:val="20"/>
                <w:szCs w:val="20"/>
                <w:lang w:eastAsia="uk-UA"/>
              </w:rPr>
              <w:t xml:space="preserve">Бал за </w:t>
            </w:r>
            <w:proofErr w:type="spellStart"/>
            <w:r w:rsidRPr="00385E91">
              <w:rPr>
                <w:color w:val="000000"/>
                <w:sz w:val="20"/>
                <w:szCs w:val="20"/>
                <w:lang w:eastAsia="uk-UA"/>
              </w:rPr>
              <w:t>пріоритезацією</w:t>
            </w:r>
            <w:proofErr w:type="spellEnd"/>
            <w:r w:rsidRPr="00385E91">
              <w:rPr>
                <w:color w:val="000000"/>
                <w:sz w:val="20"/>
                <w:szCs w:val="20"/>
                <w:lang w:eastAsia="uk-UA"/>
              </w:rPr>
              <w:t xml:space="preserve"> в єдиному проектному портфелі публічних інвестицій територіальної громади</w:t>
            </w:r>
          </w:p>
        </w:tc>
        <w:tc>
          <w:tcPr>
            <w:tcW w:w="1837" w:type="dxa"/>
            <w:gridSpan w:val="4"/>
            <w:tcBorders>
              <w:top w:val="single" w:sz="4" w:space="0" w:color="auto"/>
              <w:left w:val="nil"/>
              <w:bottom w:val="single" w:sz="4" w:space="0" w:color="auto"/>
              <w:right w:val="single" w:sz="4" w:space="0" w:color="auto"/>
            </w:tcBorders>
            <w:shd w:val="clear" w:color="auto" w:fill="auto"/>
            <w:vAlign w:val="bottom"/>
            <w:hideMark/>
          </w:tcPr>
          <w:p w:rsidR="00316AE0" w:rsidRPr="00385E91" w:rsidRDefault="00316AE0" w:rsidP="003F5DDF">
            <w:pPr>
              <w:jc w:val="center"/>
              <w:rPr>
                <w:color w:val="000000"/>
                <w:sz w:val="20"/>
                <w:szCs w:val="20"/>
                <w:lang w:eastAsia="uk-UA"/>
              </w:rPr>
            </w:pPr>
            <w:r w:rsidRPr="00385E91">
              <w:rPr>
                <w:color w:val="000000"/>
                <w:sz w:val="20"/>
                <w:szCs w:val="20"/>
                <w:lang w:eastAsia="uk-UA"/>
              </w:rPr>
              <w:t>Період реалізації проекту/програми</w:t>
            </w:r>
          </w:p>
        </w:tc>
        <w:tc>
          <w:tcPr>
            <w:tcW w:w="707" w:type="dxa"/>
            <w:gridSpan w:val="4"/>
            <w:vMerge w:val="restart"/>
            <w:tcBorders>
              <w:top w:val="single" w:sz="4" w:space="0" w:color="auto"/>
              <w:left w:val="single" w:sz="4" w:space="0" w:color="auto"/>
              <w:right w:val="single" w:sz="4" w:space="0" w:color="auto"/>
            </w:tcBorders>
            <w:shd w:val="clear" w:color="auto" w:fill="auto"/>
            <w:textDirection w:val="btLr"/>
            <w:vAlign w:val="bottom"/>
            <w:hideMark/>
          </w:tcPr>
          <w:p w:rsidR="00316AE0" w:rsidRPr="00385E91" w:rsidRDefault="00316AE0" w:rsidP="003F5DDF">
            <w:pPr>
              <w:ind w:left="113" w:right="113"/>
              <w:jc w:val="center"/>
              <w:rPr>
                <w:color w:val="000000"/>
                <w:sz w:val="20"/>
                <w:szCs w:val="20"/>
                <w:lang w:eastAsia="uk-UA"/>
              </w:rPr>
            </w:pPr>
            <w:r w:rsidRPr="00385E91">
              <w:rPr>
                <w:color w:val="000000"/>
                <w:sz w:val="20"/>
                <w:szCs w:val="20"/>
                <w:lang w:eastAsia="uk-UA"/>
              </w:rPr>
              <w:t>Ступінь готовності/етап життєвого циклу проекту</w:t>
            </w:r>
          </w:p>
        </w:tc>
        <w:tc>
          <w:tcPr>
            <w:tcW w:w="571" w:type="dxa"/>
            <w:gridSpan w:val="4"/>
            <w:vMerge w:val="restart"/>
            <w:tcBorders>
              <w:top w:val="single" w:sz="4" w:space="0" w:color="auto"/>
              <w:left w:val="single" w:sz="4" w:space="0" w:color="auto"/>
              <w:right w:val="single" w:sz="4" w:space="0" w:color="auto"/>
            </w:tcBorders>
            <w:shd w:val="clear" w:color="auto" w:fill="auto"/>
            <w:textDirection w:val="btLr"/>
            <w:vAlign w:val="bottom"/>
            <w:hideMark/>
          </w:tcPr>
          <w:p w:rsidR="00316AE0" w:rsidRPr="00385E91" w:rsidRDefault="00316AE0" w:rsidP="003F5DDF">
            <w:pPr>
              <w:ind w:left="113" w:right="113"/>
              <w:jc w:val="center"/>
              <w:rPr>
                <w:color w:val="000000"/>
                <w:sz w:val="20"/>
                <w:szCs w:val="20"/>
                <w:lang w:eastAsia="uk-UA"/>
              </w:rPr>
            </w:pPr>
            <w:r w:rsidRPr="00385E91">
              <w:rPr>
                <w:color w:val="000000"/>
                <w:sz w:val="20"/>
                <w:szCs w:val="20"/>
                <w:lang w:eastAsia="uk-UA"/>
              </w:rPr>
              <w:t>Передінвестиційні дослідження (зазначити)</w:t>
            </w:r>
          </w:p>
        </w:tc>
        <w:tc>
          <w:tcPr>
            <w:tcW w:w="846" w:type="dxa"/>
            <w:gridSpan w:val="4"/>
            <w:vMerge w:val="restart"/>
            <w:tcBorders>
              <w:top w:val="single" w:sz="4" w:space="0" w:color="auto"/>
              <w:left w:val="single" w:sz="4" w:space="0" w:color="auto"/>
              <w:right w:val="single" w:sz="4" w:space="0" w:color="auto"/>
            </w:tcBorders>
            <w:shd w:val="clear" w:color="auto" w:fill="auto"/>
            <w:textDirection w:val="btLr"/>
            <w:vAlign w:val="bottom"/>
            <w:hideMark/>
          </w:tcPr>
          <w:p w:rsidR="00316AE0" w:rsidRPr="00385E91" w:rsidRDefault="00316AE0" w:rsidP="003F5DDF">
            <w:pPr>
              <w:ind w:left="113" w:right="113"/>
              <w:jc w:val="center"/>
              <w:rPr>
                <w:color w:val="000000"/>
                <w:sz w:val="20"/>
                <w:szCs w:val="20"/>
                <w:lang w:eastAsia="uk-UA"/>
              </w:rPr>
            </w:pPr>
            <w:r w:rsidRPr="00385E91">
              <w:rPr>
                <w:color w:val="000000"/>
                <w:sz w:val="20"/>
                <w:szCs w:val="20"/>
                <w:lang w:eastAsia="uk-UA"/>
              </w:rPr>
              <w:t>Рішення інвестиційної ради щодо пріоритетності подальшої підготовки (дата. Номер)</w:t>
            </w:r>
          </w:p>
        </w:tc>
        <w:tc>
          <w:tcPr>
            <w:tcW w:w="862" w:type="dxa"/>
            <w:gridSpan w:val="4"/>
            <w:vMerge w:val="restart"/>
            <w:tcBorders>
              <w:top w:val="single" w:sz="4" w:space="0" w:color="auto"/>
              <w:left w:val="single" w:sz="4" w:space="0" w:color="auto"/>
              <w:right w:val="single" w:sz="4" w:space="0" w:color="auto"/>
            </w:tcBorders>
            <w:shd w:val="clear" w:color="auto" w:fill="auto"/>
            <w:textDirection w:val="btLr"/>
            <w:vAlign w:val="bottom"/>
            <w:hideMark/>
          </w:tcPr>
          <w:p w:rsidR="00316AE0" w:rsidRPr="00385E91" w:rsidRDefault="00316AE0" w:rsidP="003F5DDF">
            <w:pPr>
              <w:ind w:left="113" w:right="113"/>
              <w:jc w:val="center"/>
              <w:rPr>
                <w:color w:val="000000"/>
                <w:sz w:val="20"/>
                <w:szCs w:val="20"/>
                <w:lang w:eastAsia="uk-UA"/>
              </w:rPr>
            </w:pPr>
            <w:r w:rsidRPr="00385E91">
              <w:rPr>
                <w:color w:val="000000"/>
                <w:sz w:val="20"/>
                <w:szCs w:val="20"/>
                <w:lang w:eastAsia="uk-UA"/>
              </w:rPr>
              <w:t>Відповідність критеріям програм з підготовки проектів/програм (PPF) (так/ні)</w:t>
            </w:r>
          </w:p>
        </w:tc>
        <w:tc>
          <w:tcPr>
            <w:tcW w:w="567" w:type="dxa"/>
            <w:vMerge w:val="restart"/>
            <w:tcBorders>
              <w:top w:val="single" w:sz="4" w:space="0" w:color="auto"/>
              <w:left w:val="single" w:sz="4" w:space="0" w:color="auto"/>
              <w:right w:val="single" w:sz="4" w:space="0" w:color="auto"/>
            </w:tcBorders>
            <w:shd w:val="clear" w:color="auto" w:fill="auto"/>
            <w:textDirection w:val="btLr"/>
            <w:vAlign w:val="bottom"/>
            <w:hideMark/>
          </w:tcPr>
          <w:p w:rsidR="00316AE0" w:rsidRPr="00385E91" w:rsidRDefault="00316AE0" w:rsidP="003F5DDF">
            <w:pPr>
              <w:ind w:left="113" w:right="113"/>
              <w:jc w:val="center"/>
              <w:rPr>
                <w:color w:val="000000"/>
                <w:sz w:val="20"/>
                <w:szCs w:val="20"/>
                <w:lang w:eastAsia="uk-UA"/>
              </w:rPr>
            </w:pPr>
            <w:r w:rsidRPr="00385E91">
              <w:rPr>
                <w:color w:val="000000"/>
                <w:sz w:val="20"/>
                <w:szCs w:val="20"/>
                <w:lang w:eastAsia="uk-UA"/>
              </w:rPr>
              <w:t>Загальна вартість, тис. грн</w:t>
            </w:r>
          </w:p>
        </w:tc>
        <w:tc>
          <w:tcPr>
            <w:tcW w:w="3983" w:type="dxa"/>
            <w:gridSpan w:val="22"/>
            <w:tcBorders>
              <w:top w:val="single" w:sz="4" w:space="0" w:color="auto"/>
              <w:left w:val="nil"/>
              <w:bottom w:val="single" w:sz="4" w:space="0" w:color="auto"/>
              <w:right w:val="single" w:sz="4" w:space="0" w:color="auto"/>
            </w:tcBorders>
          </w:tcPr>
          <w:p w:rsidR="00316AE0" w:rsidRPr="00385E91" w:rsidRDefault="00316AE0" w:rsidP="003F5DDF">
            <w:pPr>
              <w:ind w:left="-123" w:firstLine="123"/>
              <w:jc w:val="center"/>
              <w:rPr>
                <w:color w:val="000000"/>
                <w:sz w:val="20"/>
                <w:szCs w:val="20"/>
                <w:lang w:eastAsia="uk-UA"/>
              </w:rPr>
            </w:pPr>
          </w:p>
          <w:p w:rsidR="00316AE0" w:rsidRPr="00385E91" w:rsidRDefault="00316AE0" w:rsidP="003F5DDF">
            <w:pPr>
              <w:ind w:left="-123" w:firstLine="123"/>
              <w:jc w:val="center"/>
              <w:rPr>
                <w:color w:val="000000"/>
                <w:sz w:val="20"/>
                <w:szCs w:val="20"/>
                <w:lang w:eastAsia="uk-UA"/>
              </w:rPr>
            </w:pPr>
          </w:p>
          <w:p w:rsidR="00316AE0" w:rsidRPr="00385E91" w:rsidRDefault="00316AE0" w:rsidP="003F5DDF">
            <w:pPr>
              <w:ind w:left="-123" w:firstLine="123"/>
              <w:jc w:val="center"/>
              <w:rPr>
                <w:color w:val="000000"/>
                <w:sz w:val="20"/>
                <w:szCs w:val="20"/>
                <w:lang w:eastAsia="uk-UA"/>
              </w:rPr>
            </w:pPr>
            <w:r w:rsidRPr="00385E91">
              <w:rPr>
                <w:color w:val="000000"/>
                <w:sz w:val="20"/>
                <w:szCs w:val="20"/>
                <w:lang w:eastAsia="uk-UA"/>
              </w:rPr>
              <w:t>У тому числі обсяг фінансування за роками:</w:t>
            </w:r>
          </w:p>
        </w:tc>
        <w:tc>
          <w:tcPr>
            <w:tcW w:w="708" w:type="dxa"/>
            <w:gridSpan w:val="5"/>
            <w:vMerge w:val="restart"/>
            <w:tcBorders>
              <w:top w:val="single" w:sz="4" w:space="0" w:color="auto"/>
              <w:left w:val="single" w:sz="4" w:space="0" w:color="auto"/>
              <w:right w:val="single" w:sz="4" w:space="0" w:color="auto"/>
            </w:tcBorders>
            <w:shd w:val="clear" w:color="auto" w:fill="auto"/>
            <w:textDirection w:val="btLr"/>
            <w:vAlign w:val="bottom"/>
            <w:hideMark/>
          </w:tcPr>
          <w:p w:rsidR="00316AE0" w:rsidRPr="00385E91" w:rsidRDefault="00316AE0" w:rsidP="003F5DDF">
            <w:pPr>
              <w:jc w:val="center"/>
              <w:rPr>
                <w:sz w:val="20"/>
                <w:szCs w:val="20"/>
              </w:rPr>
            </w:pPr>
            <w:r w:rsidRPr="00385E91">
              <w:rPr>
                <w:sz w:val="20"/>
                <w:szCs w:val="20"/>
              </w:rPr>
              <w:t>Пропоноване джерело фінансового забезпечення (зазначити)</w:t>
            </w:r>
          </w:p>
        </w:tc>
        <w:tc>
          <w:tcPr>
            <w:tcW w:w="851" w:type="dxa"/>
            <w:gridSpan w:val="7"/>
            <w:vMerge w:val="restart"/>
            <w:tcBorders>
              <w:top w:val="single" w:sz="4" w:space="0" w:color="auto"/>
              <w:left w:val="single" w:sz="4" w:space="0" w:color="auto"/>
              <w:right w:val="single" w:sz="4" w:space="0" w:color="auto"/>
            </w:tcBorders>
            <w:shd w:val="clear" w:color="auto" w:fill="auto"/>
            <w:textDirection w:val="btLr"/>
            <w:vAlign w:val="bottom"/>
            <w:hideMark/>
          </w:tcPr>
          <w:p w:rsidR="00316AE0" w:rsidRPr="00385E91" w:rsidRDefault="00316AE0" w:rsidP="003F5DDF">
            <w:pPr>
              <w:ind w:left="113" w:right="113"/>
              <w:jc w:val="center"/>
              <w:rPr>
                <w:color w:val="000000"/>
                <w:sz w:val="20"/>
                <w:szCs w:val="20"/>
                <w:lang w:eastAsia="uk-UA"/>
              </w:rPr>
            </w:pPr>
            <w:r w:rsidRPr="00385E91">
              <w:rPr>
                <w:color w:val="000000"/>
                <w:sz w:val="20"/>
                <w:szCs w:val="20"/>
                <w:lang w:eastAsia="uk-UA"/>
              </w:rPr>
              <w:t>Підтвердження наявності пропонованого джерела фінансового забезпечення</w:t>
            </w:r>
          </w:p>
        </w:tc>
        <w:tc>
          <w:tcPr>
            <w:tcW w:w="552" w:type="dxa"/>
            <w:gridSpan w:val="6"/>
            <w:tcBorders>
              <w:top w:val="single" w:sz="4" w:space="0" w:color="auto"/>
              <w:left w:val="single" w:sz="4" w:space="0" w:color="auto"/>
              <w:right w:val="single" w:sz="4" w:space="0" w:color="auto"/>
            </w:tcBorders>
            <w:textDirection w:val="btLr"/>
          </w:tcPr>
          <w:p w:rsidR="00316AE0" w:rsidRPr="00385E91" w:rsidRDefault="00316AE0" w:rsidP="003F5DDF">
            <w:pPr>
              <w:ind w:left="113" w:right="113"/>
              <w:jc w:val="center"/>
              <w:rPr>
                <w:color w:val="000000"/>
                <w:sz w:val="20"/>
                <w:szCs w:val="20"/>
                <w:lang w:eastAsia="uk-UA"/>
              </w:rPr>
            </w:pPr>
            <w:r w:rsidRPr="00385E91">
              <w:rPr>
                <w:color w:val="000000"/>
                <w:sz w:val="20"/>
                <w:szCs w:val="20"/>
                <w:lang w:eastAsia="uk-UA"/>
              </w:rPr>
              <w:t>Примітка</w:t>
            </w:r>
          </w:p>
        </w:tc>
      </w:tr>
      <w:tr w:rsidR="00316AE0" w:rsidRPr="00385E91" w:rsidTr="003F5DDF">
        <w:trPr>
          <w:gridAfter w:val="8"/>
          <w:wAfter w:w="770" w:type="dxa"/>
          <w:cantSplit/>
          <w:trHeight w:val="2310"/>
        </w:trPr>
        <w:tc>
          <w:tcPr>
            <w:tcW w:w="552" w:type="dxa"/>
            <w:vMerge/>
            <w:tcBorders>
              <w:top w:val="single" w:sz="4" w:space="0" w:color="auto"/>
              <w:left w:val="single" w:sz="4" w:space="0" w:color="auto"/>
              <w:bottom w:val="single" w:sz="4" w:space="0" w:color="auto"/>
              <w:right w:val="single" w:sz="4" w:space="0" w:color="auto"/>
            </w:tcBorders>
            <w:vAlign w:val="center"/>
            <w:hideMark/>
          </w:tcPr>
          <w:p w:rsidR="00316AE0" w:rsidRPr="00385E91" w:rsidRDefault="00316AE0" w:rsidP="003F5DDF">
            <w:pPr>
              <w:jc w:val="center"/>
              <w:rPr>
                <w:color w:val="000000"/>
                <w:sz w:val="20"/>
                <w:szCs w:val="20"/>
                <w:lang w:eastAsia="uk-UA"/>
              </w:rPr>
            </w:pPr>
          </w:p>
        </w:tc>
        <w:tc>
          <w:tcPr>
            <w:tcW w:w="829" w:type="dxa"/>
            <w:gridSpan w:val="5"/>
            <w:vMerge/>
            <w:tcBorders>
              <w:top w:val="single" w:sz="4" w:space="0" w:color="auto"/>
              <w:left w:val="single" w:sz="4" w:space="0" w:color="auto"/>
              <w:bottom w:val="single" w:sz="4" w:space="0" w:color="auto"/>
              <w:right w:val="single" w:sz="4" w:space="0" w:color="auto"/>
            </w:tcBorders>
            <w:vAlign w:val="center"/>
            <w:hideMark/>
          </w:tcPr>
          <w:p w:rsidR="00316AE0" w:rsidRPr="00385E91" w:rsidRDefault="00316AE0" w:rsidP="003F5DDF">
            <w:pPr>
              <w:jc w:val="center"/>
              <w:rPr>
                <w:color w:val="000000"/>
                <w:sz w:val="20"/>
                <w:szCs w:val="20"/>
                <w:lang w:eastAsia="uk-UA"/>
              </w:rPr>
            </w:pPr>
          </w:p>
        </w:tc>
        <w:tc>
          <w:tcPr>
            <w:tcW w:w="1589" w:type="dxa"/>
            <w:gridSpan w:val="3"/>
            <w:vMerge/>
            <w:tcBorders>
              <w:top w:val="single" w:sz="4" w:space="0" w:color="auto"/>
              <w:left w:val="single" w:sz="4" w:space="0" w:color="auto"/>
              <w:bottom w:val="single" w:sz="4" w:space="0" w:color="auto"/>
              <w:right w:val="single" w:sz="4" w:space="0" w:color="auto"/>
            </w:tcBorders>
            <w:vAlign w:val="center"/>
            <w:hideMark/>
          </w:tcPr>
          <w:p w:rsidR="00316AE0" w:rsidRPr="00385E91" w:rsidRDefault="00316AE0" w:rsidP="003F5DDF">
            <w:pPr>
              <w:jc w:val="center"/>
              <w:rPr>
                <w:color w:val="000000"/>
                <w:sz w:val="20"/>
                <w:szCs w:val="20"/>
                <w:lang w:eastAsia="uk-UA"/>
              </w:rPr>
            </w:pPr>
          </w:p>
        </w:tc>
        <w:tc>
          <w:tcPr>
            <w:tcW w:w="851" w:type="dxa"/>
            <w:gridSpan w:val="5"/>
            <w:vMerge/>
            <w:tcBorders>
              <w:top w:val="single" w:sz="4" w:space="0" w:color="auto"/>
              <w:left w:val="single" w:sz="4" w:space="0" w:color="auto"/>
              <w:bottom w:val="single" w:sz="4" w:space="0" w:color="auto"/>
              <w:right w:val="single" w:sz="4" w:space="0" w:color="auto"/>
            </w:tcBorders>
            <w:vAlign w:val="center"/>
            <w:hideMark/>
          </w:tcPr>
          <w:p w:rsidR="00316AE0" w:rsidRPr="00385E91" w:rsidRDefault="00316AE0" w:rsidP="003F5DDF">
            <w:pPr>
              <w:jc w:val="center"/>
              <w:rPr>
                <w:color w:val="000000"/>
                <w:sz w:val="20"/>
                <w:szCs w:val="20"/>
                <w:lang w:eastAsia="uk-UA"/>
              </w:rPr>
            </w:pPr>
          </w:p>
        </w:tc>
        <w:tc>
          <w:tcPr>
            <w:tcW w:w="863" w:type="dxa"/>
            <w:gridSpan w:val="5"/>
            <w:vMerge/>
            <w:tcBorders>
              <w:top w:val="single" w:sz="4" w:space="0" w:color="auto"/>
              <w:left w:val="single" w:sz="4" w:space="0" w:color="auto"/>
              <w:bottom w:val="single" w:sz="4" w:space="0" w:color="auto"/>
              <w:right w:val="single" w:sz="4" w:space="0" w:color="auto"/>
            </w:tcBorders>
            <w:vAlign w:val="center"/>
            <w:hideMark/>
          </w:tcPr>
          <w:p w:rsidR="00316AE0" w:rsidRPr="00385E91" w:rsidRDefault="00316AE0" w:rsidP="003F5DDF">
            <w:pPr>
              <w:jc w:val="center"/>
              <w:rPr>
                <w:color w:val="000000"/>
                <w:sz w:val="20"/>
                <w:szCs w:val="20"/>
                <w:lang w:eastAsia="uk-UA"/>
              </w:rPr>
            </w:pPr>
          </w:p>
        </w:tc>
        <w:tc>
          <w:tcPr>
            <w:tcW w:w="711" w:type="dxa"/>
            <w:tcBorders>
              <w:top w:val="nil"/>
              <w:left w:val="nil"/>
              <w:bottom w:val="single" w:sz="4" w:space="0" w:color="auto"/>
              <w:right w:val="single" w:sz="4" w:space="0" w:color="auto"/>
            </w:tcBorders>
            <w:shd w:val="clear" w:color="auto" w:fill="auto"/>
            <w:textDirection w:val="btLr"/>
            <w:vAlign w:val="bottom"/>
            <w:hideMark/>
          </w:tcPr>
          <w:p w:rsidR="00316AE0" w:rsidRPr="00385E91" w:rsidRDefault="00316AE0" w:rsidP="003F5DDF">
            <w:pPr>
              <w:ind w:left="113" w:right="113"/>
              <w:jc w:val="center"/>
              <w:rPr>
                <w:color w:val="000000"/>
                <w:sz w:val="20"/>
                <w:szCs w:val="20"/>
                <w:lang w:eastAsia="uk-UA"/>
              </w:rPr>
            </w:pPr>
            <w:r w:rsidRPr="00385E91">
              <w:rPr>
                <w:color w:val="000000"/>
                <w:sz w:val="20"/>
                <w:szCs w:val="20"/>
                <w:lang w:eastAsia="uk-UA"/>
              </w:rPr>
              <w:t>початок (рік)</w:t>
            </w:r>
          </w:p>
        </w:tc>
        <w:tc>
          <w:tcPr>
            <w:tcW w:w="1126" w:type="dxa"/>
            <w:gridSpan w:val="3"/>
            <w:tcBorders>
              <w:top w:val="nil"/>
              <w:left w:val="nil"/>
              <w:bottom w:val="single" w:sz="4" w:space="0" w:color="auto"/>
              <w:right w:val="single" w:sz="4" w:space="0" w:color="auto"/>
            </w:tcBorders>
            <w:shd w:val="clear" w:color="auto" w:fill="auto"/>
            <w:textDirection w:val="btLr"/>
            <w:vAlign w:val="bottom"/>
            <w:hideMark/>
          </w:tcPr>
          <w:p w:rsidR="00316AE0" w:rsidRPr="00385E91" w:rsidRDefault="00316AE0" w:rsidP="003F5DDF">
            <w:pPr>
              <w:ind w:left="113" w:right="113"/>
              <w:jc w:val="center"/>
              <w:rPr>
                <w:color w:val="000000"/>
                <w:sz w:val="20"/>
                <w:szCs w:val="20"/>
                <w:lang w:eastAsia="uk-UA"/>
              </w:rPr>
            </w:pPr>
            <w:r w:rsidRPr="00385E91">
              <w:rPr>
                <w:color w:val="000000"/>
                <w:sz w:val="20"/>
                <w:szCs w:val="20"/>
                <w:lang w:eastAsia="uk-UA"/>
              </w:rPr>
              <w:t>завершення (рік)</w:t>
            </w:r>
          </w:p>
        </w:tc>
        <w:tc>
          <w:tcPr>
            <w:tcW w:w="707" w:type="dxa"/>
            <w:gridSpan w:val="4"/>
            <w:vMerge/>
            <w:tcBorders>
              <w:left w:val="single" w:sz="4" w:space="0" w:color="auto"/>
              <w:bottom w:val="single" w:sz="4" w:space="0" w:color="auto"/>
              <w:right w:val="single" w:sz="4" w:space="0" w:color="auto"/>
            </w:tcBorders>
            <w:vAlign w:val="center"/>
            <w:hideMark/>
          </w:tcPr>
          <w:p w:rsidR="00316AE0" w:rsidRPr="00385E91" w:rsidRDefault="00316AE0" w:rsidP="003F5DDF">
            <w:pPr>
              <w:jc w:val="center"/>
              <w:rPr>
                <w:color w:val="000000"/>
                <w:sz w:val="20"/>
                <w:szCs w:val="20"/>
                <w:lang w:eastAsia="uk-UA"/>
              </w:rPr>
            </w:pPr>
          </w:p>
        </w:tc>
        <w:tc>
          <w:tcPr>
            <w:tcW w:w="571" w:type="dxa"/>
            <w:gridSpan w:val="4"/>
            <w:vMerge/>
            <w:tcBorders>
              <w:left w:val="single" w:sz="4" w:space="0" w:color="auto"/>
              <w:bottom w:val="single" w:sz="4" w:space="0" w:color="auto"/>
              <w:right w:val="single" w:sz="4" w:space="0" w:color="auto"/>
            </w:tcBorders>
            <w:vAlign w:val="center"/>
            <w:hideMark/>
          </w:tcPr>
          <w:p w:rsidR="00316AE0" w:rsidRPr="00385E91" w:rsidRDefault="00316AE0" w:rsidP="003F5DDF">
            <w:pPr>
              <w:jc w:val="center"/>
              <w:rPr>
                <w:color w:val="000000"/>
                <w:sz w:val="20"/>
                <w:szCs w:val="20"/>
                <w:lang w:eastAsia="uk-UA"/>
              </w:rPr>
            </w:pPr>
          </w:p>
        </w:tc>
        <w:tc>
          <w:tcPr>
            <w:tcW w:w="846" w:type="dxa"/>
            <w:gridSpan w:val="4"/>
            <w:vMerge/>
            <w:tcBorders>
              <w:left w:val="single" w:sz="4" w:space="0" w:color="auto"/>
              <w:bottom w:val="single" w:sz="4" w:space="0" w:color="auto"/>
              <w:right w:val="single" w:sz="4" w:space="0" w:color="auto"/>
            </w:tcBorders>
            <w:vAlign w:val="center"/>
            <w:hideMark/>
          </w:tcPr>
          <w:p w:rsidR="00316AE0" w:rsidRPr="00385E91" w:rsidRDefault="00316AE0" w:rsidP="003F5DDF">
            <w:pPr>
              <w:jc w:val="center"/>
              <w:rPr>
                <w:color w:val="000000"/>
                <w:sz w:val="20"/>
                <w:szCs w:val="20"/>
                <w:lang w:eastAsia="uk-UA"/>
              </w:rPr>
            </w:pPr>
          </w:p>
        </w:tc>
        <w:tc>
          <w:tcPr>
            <w:tcW w:w="862" w:type="dxa"/>
            <w:gridSpan w:val="4"/>
            <w:vMerge/>
            <w:tcBorders>
              <w:left w:val="single" w:sz="4" w:space="0" w:color="auto"/>
              <w:bottom w:val="single" w:sz="4" w:space="0" w:color="auto"/>
              <w:right w:val="single" w:sz="4" w:space="0" w:color="auto"/>
            </w:tcBorders>
            <w:vAlign w:val="center"/>
            <w:hideMark/>
          </w:tcPr>
          <w:p w:rsidR="00316AE0" w:rsidRPr="00385E91" w:rsidRDefault="00316AE0" w:rsidP="003F5DDF">
            <w:pPr>
              <w:jc w:val="center"/>
              <w:rPr>
                <w:color w:val="000000"/>
                <w:sz w:val="20"/>
                <w:szCs w:val="20"/>
                <w:lang w:eastAsia="uk-UA"/>
              </w:rPr>
            </w:pPr>
          </w:p>
        </w:tc>
        <w:tc>
          <w:tcPr>
            <w:tcW w:w="567" w:type="dxa"/>
            <w:vMerge/>
            <w:tcBorders>
              <w:left w:val="single" w:sz="4" w:space="0" w:color="auto"/>
              <w:bottom w:val="single" w:sz="4" w:space="0" w:color="auto"/>
              <w:right w:val="single" w:sz="4" w:space="0" w:color="auto"/>
            </w:tcBorders>
            <w:vAlign w:val="center"/>
            <w:hideMark/>
          </w:tcPr>
          <w:p w:rsidR="00316AE0" w:rsidRPr="00385E91" w:rsidRDefault="00316AE0" w:rsidP="003F5DDF">
            <w:pPr>
              <w:jc w:val="center"/>
              <w:rPr>
                <w:color w:val="000000"/>
                <w:sz w:val="20"/>
                <w:szCs w:val="20"/>
                <w:lang w:eastAsia="uk-UA"/>
              </w:rPr>
            </w:pPr>
          </w:p>
        </w:tc>
        <w:tc>
          <w:tcPr>
            <w:tcW w:w="631" w:type="dxa"/>
            <w:gridSpan w:val="6"/>
            <w:tcBorders>
              <w:top w:val="nil"/>
              <w:left w:val="nil"/>
              <w:bottom w:val="single" w:sz="4" w:space="0" w:color="auto"/>
              <w:right w:val="single" w:sz="4" w:space="0" w:color="auto"/>
            </w:tcBorders>
            <w:shd w:val="clear" w:color="auto" w:fill="auto"/>
            <w:textDirection w:val="btLr"/>
            <w:vAlign w:val="bottom"/>
            <w:hideMark/>
          </w:tcPr>
          <w:p w:rsidR="00316AE0" w:rsidRPr="00385E91" w:rsidRDefault="00316AE0" w:rsidP="003F5DDF">
            <w:pPr>
              <w:ind w:left="113" w:right="113"/>
              <w:jc w:val="center"/>
              <w:rPr>
                <w:color w:val="000000"/>
                <w:sz w:val="20"/>
                <w:szCs w:val="20"/>
                <w:lang w:eastAsia="uk-UA"/>
              </w:rPr>
            </w:pPr>
            <w:r w:rsidRPr="00385E91">
              <w:rPr>
                <w:color w:val="000000"/>
                <w:sz w:val="20"/>
                <w:szCs w:val="20"/>
                <w:lang w:eastAsia="uk-UA"/>
              </w:rPr>
              <w:t>факт з початку реалізації</w:t>
            </w:r>
          </w:p>
        </w:tc>
        <w:tc>
          <w:tcPr>
            <w:tcW w:w="709" w:type="dxa"/>
            <w:tcBorders>
              <w:top w:val="nil"/>
              <w:left w:val="nil"/>
              <w:bottom w:val="single" w:sz="4" w:space="0" w:color="auto"/>
              <w:right w:val="single" w:sz="4" w:space="0" w:color="auto"/>
            </w:tcBorders>
            <w:shd w:val="clear" w:color="auto" w:fill="auto"/>
            <w:textDirection w:val="btLr"/>
            <w:vAlign w:val="bottom"/>
            <w:hideMark/>
          </w:tcPr>
          <w:p w:rsidR="00316AE0" w:rsidRPr="00385E91" w:rsidRDefault="00316AE0" w:rsidP="003F5DDF">
            <w:pPr>
              <w:ind w:left="113" w:right="113"/>
              <w:jc w:val="center"/>
              <w:rPr>
                <w:color w:val="000000"/>
                <w:sz w:val="20"/>
                <w:szCs w:val="20"/>
                <w:lang w:eastAsia="uk-UA"/>
              </w:rPr>
            </w:pPr>
            <w:r w:rsidRPr="00385E91">
              <w:rPr>
                <w:color w:val="000000"/>
                <w:sz w:val="20"/>
                <w:szCs w:val="20"/>
                <w:lang w:eastAsia="uk-UA"/>
              </w:rPr>
              <w:t>план на поточний бюджетний період</w:t>
            </w:r>
          </w:p>
        </w:tc>
        <w:tc>
          <w:tcPr>
            <w:tcW w:w="790" w:type="dxa"/>
            <w:tcBorders>
              <w:top w:val="nil"/>
              <w:left w:val="nil"/>
              <w:bottom w:val="single" w:sz="4" w:space="0" w:color="auto"/>
              <w:right w:val="single" w:sz="4" w:space="0" w:color="auto"/>
            </w:tcBorders>
            <w:textDirection w:val="btLr"/>
          </w:tcPr>
          <w:p w:rsidR="00316AE0" w:rsidRPr="00385E91" w:rsidRDefault="00316AE0" w:rsidP="003F5DDF">
            <w:pPr>
              <w:ind w:left="113" w:right="113"/>
              <w:jc w:val="center"/>
              <w:rPr>
                <w:color w:val="000000"/>
                <w:sz w:val="20"/>
                <w:szCs w:val="20"/>
                <w:lang w:eastAsia="uk-UA"/>
              </w:rPr>
            </w:pPr>
            <w:r w:rsidRPr="00385E91">
              <w:rPr>
                <w:color w:val="000000"/>
                <w:sz w:val="20"/>
                <w:szCs w:val="20"/>
                <w:lang w:eastAsia="uk-UA"/>
              </w:rPr>
              <w:t>прогноз на наступний рік</w:t>
            </w:r>
          </w:p>
        </w:tc>
        <w:tc>
          <w:tcPr>
            <w:tcW w:w="433" w:type="dxa"/>
            <w:gridSpan w:val="8"/>
            <w:tcBorders>
              <w:top w:val="nil"/>
              <w:left w:val="nil"/>
              <w:bottom w:val="single" w:sz="4" w:space="0" w:color="auto"/>
              <w:right w:val="single" w:sz="4" w:space="0" w:color="auto"/>
            </w:tcBorders>
            <w:shd w:val="clear" w:color="auto" w:fill="auto"/>
            <w:textDirection w:val="btLr"/>
            <w:vAlign w:val="bottom"/>
            <w:hideMark/>
          </w:tcPr>
          <w:p w:rsidR="00316AE0" w:rsidRPr="00385E91" w:rsidRDefault="00316AE0" w:rsidP="003F5DDF">
            <w:pPr>
              <w:ind w:left="113" w:right="113"/>
              <w:jc w:val="center"/>
              <w:rPr>
                <w:color w:val="000000"/>
                <w:sz w:val="20"/>
                <w:szCs w:val="20"/>
                <w:lang w:eastAsia="uk-UA"/>
              </w:rPr>
            </w:pPr>
            <w:r w:rsidRPr="00385E91">
              <w:rPr>
                <w:color w:val="000000"/>
                <w:sz w:val="20"/>
                <w:szCs w:val="20"/>
                <w:lang w:eastAsia="uk-UA"/>
              </w:rPr>
              <w:t>прогноз на другий рік</w:t>
            </w:r>
          </w:p>
        </w:tc>
        <w:tc>
          <w:tcPr>
            <w:tcW w:w="708" w:type="dxa"/>
            <w:gridSpan w:val="2"/>
            <w:tcBorders>
              <w:top w:val="nil"/>
              <w:left w:val="nil"/>
              <w:bottom w:val="single" w:sz="4" w:space="0" w:color="auto"/>
              <w:right w:val="single" w:sz="4" w:space="0" w:color="auto"/>
            </w:tcBorders>
            <w:shd w:val="clear" w:color="auto" w:fill="auto"/>
            <w:textDirection w:val="btLr"/>
            <w:vAlign w:val="bottom"/>
            <w:hideMark/>
          </w:tcPr>
          <w:p w:rsidR="00316AE0" w:rsidRPr="00385E91" w:rsidRDefault="00316AE0" w:rsidP="003F5DDF">
            <w:pPr>
              <w:ind w:left="113" w:right="113"/>
              <w:jc w:val="center"/>
              <w:rPr>
                <w:color w:val="000000"/>
                <w:sz w:val="20"/>
                <w:szCs w:val="20"/>
                <w:lang w:eastAsia="uk-UA"/>
              </w:rPr>
            </w:pPr>
            <w:r w:rsidRPr="00385E91">
              <w:rPr>
                <w:color w:val="000000"/>
                <w:sz w:val="20"/>
                <w:szCs w:val="20"/>
                <w:lang w:eastAsia="uk-UA"/>
              </w:rPr>
              <w:t>прогноз на третій рік</w:t>
            </w:r>
          </w:p>
        </w:tc>
        <w:tc>
          <w:tcPr>
            <w:tcW w:w="712" w:type="dxa"/>
            <w:gridSpan w:val="4"/>
            <w:tcBorders>
              <w:top w:val="nil"/>
              <w:left w:val="nil"/>
              <w:bottom w:val="single" w:sz="4" w:space="0" w:color="auto"/>
              <w:right w:val="single" w:sz="4" w:space="0" w:color="auto"/>
            </w:tcBorders>
            <w:shd w:val="clear" w:color="auto" w:fill="auto"/>
            <w:textDirection w:val="btLr"/>
            <w:vAlign w:val="bottom"/>
            <w:hideMark/>
          </w:tcPr>
          <w:p w:rsidR="00316AE0" w:rsidRPr="00385E91" w:rsidRDefault="00316AE0" w:rsidP="003F5DDF">
            <w:pPr>
              <w:ind w:left="113" w:right="113"/>
              <w:jc w:val="center"/>
              <w:rPr>
                <w:color w:val="000000"/>
                <w:sz w:val="20"/>
                <w:szCs w:val="20"/>
                <w:lang w:eastAsia="uk-UA"/>
              </w:rPr>
            </w:pPr>
            <w:r w:rsidRPr="00385E91">
              <w:rPr>
                <w:color w:val="000000"/>
                <w:sz w:val="20"/>
                <w:szCs w:val="20"/>
                <w:lang w:eastAsia="uk-UA"/>
              </w:rPr>
              <w:t>прогноз до завершення реалізації</w:t>
            </w:r>
          </w:p>
        </w:tc>
        <w:tc>
          <w:tcPr>
            <w:tcW w:w="708" w:type="dxa"/>
            <w:gridSpan w:val="5"/>
            <w:vMerge/>
            <w:tcBorders>
              <w:left w:val="single" w:sz="4" w:space="0" w:color="auto"/>
              <w:bottom w:val="single" w:sz="4" w:space="0" w:color="auto"/>
              <w:right w:val="single" w:sz="4" w:space="0" w:color="auto"/>
            </w:tcBorders>
            <w:vAlign w:val="center"/>
            <w:hideMark/>
          </w:tcPr>
          <w:p w:rsidR="00316AE0" w:rsidRPr="00385E91" w:rsidRDefault="00316AE0" w:rsidP="003F5DDF">
            <w:pPr>
              <w:jc w:val="center"/>
            </w:pPr>
          </w:p>
        </w:tc>
        <w:tc>
          <w:tcPr>
            <w:tcW w:w="851" w:type="dxa"/>
            <w:gridSpan w:val="7"/>
            <w:vMerge/>
            <w:tcBorders>
              <w:left w:val="single" w:sz="4" w:space="0" w:color="auto"/>
              <w:bottom w:val="single" w:sz="4" w:space="0" w:color="auto"/>
              <w:right w:val="single" w:sz="4" w:space="0" w:color="auto"/>
            </w:tcBorders>
            <w:vAlign w:val="center"/>
            <w:hideMark/>
          </w:tcPr>
          <w:p w:rsidR="00316AE0" w:rsidRPr="00385E91" w:rsidRDefault="00316AE0" w:rsidP="003F5DDF">
            <w:pPr>
              <w:ind w:left="72" w:hanging="72"/>
              <w:jc w:val="center"/>
              <w:rPr>
                <w:sz w:val="20"/>
                <w:szCs w:val="20"/>
                <w:lang w:eastAsia="uk-UA"/>
              </w:rPr>
            </w:pPr>
          </w:p>
        </w:tc>
        <w:tc>
          <w:tcPr>
            <w:tcW w:w="552" w:type="dxa"/>
            <w:gridSpan w:val="6"/>
            <w:tcBorders>
              <w:left w:val="single" w:sz="4" w:space="0" w:color="auto"/>
              <w:bottom w:val="single" w:sz="4" w:space="0" w:color="auto"/>
              <w:right w:val="single" w:sz="4" w:space="0" w:color="auto"/>
            </w:tcBorders>
            <w:textDirection w:val="btLr"/>
          </w:tcPr>
          <w:p w:rsidR="00316AE0" w:rsidRPr="00385E91" w:rsidRDefault="00316AE0" w:rsidP="003F5DDF">
            <w:pPr>
              <w:ind w:left="185" w:right="113" w:hanging="72"/>
              <w:jc w:val="center"/>
              <w:rPr>
                <w:sz w:val="20"/>
                <w:szCs w:val="20"/>
                <w:lang w:eastAsia="uk-UA"/>
              </w:rPr>
            </w:pPr>
          </w:p>
        </w:tc>
      </w:tr>
      <w:tr w:rsidR="00316AE0" w:rsidRPr="00385E91" w:rsidTr="003F5DDF">
        <w:trPr>
          <w:trHeight w:val="780"/>
        </w:trPr>
        <w:tc>
          <w:tcPr>
            <w:tcW w:w="566" w:type="dxa"/>
            <w:gridSpan w:val="2"/>
            <w:tcBorders>
              <w:top w:val="nil"/>
              <w:left w:val="nil"/>
              <w:bottom w:val="single" w:sz="4" w:space="0" w:color="auto"/>
              <w:right w:val="nil"/>
            </w:tcBorders>
            <w:shd w:val="clear" w:color="auto" w:fill="auto"/>
            <w:noWrap/>
            <w:vAlign w:val="bottom"/>
            <w:hideMark/>
          </w:tcPr>
          <w:p w:rsidR="00316AE0" w:rsidRPr="00385E91" w:rsidRDefault="00316AE0" w:rsidP="003F5DDF">
            <w:pPr>
              <w:jc w:val="left"/>
              <w:rPr>
                <w:color w:val="000000"/>
                <w:sz w:val="24"/>
                <w:szCs w:val="24"/>
                <w:lang w:eastAsia="uk-UA"/>
              </w:rPr>
            </w:pPr>
            <w:r w:rsidRPr="00385E91">
              <w:rPr>
                <w:color w:val="000000"/>
                <w:sz w:val="24"/>
                <w:szCs w:val="24"/>
                <w:lang w:eastAsia="uk-UA"/>
              </w:rPr>
              <w:t> </w:t>
            </w:r>
          </w:p>
        </w:tc>
        <w:tc>
          <w:tcPr>
            <w:tcW w:w="1278" w:type="dxa"/>
            <w:gridSpan w:val="6"/>
            <w:tcBorders>
              <w:top w:val="nil"/>
              <w:left w:val="nil"/>
              <w:bottom w:val="single" w:sz="4" w:space="0" w:color="auto"/>
              <w:right w:val="nil"/>
            </w:tcBorders>
            <w:shd w:val="clear" w:color="auto" w:fill="auto"/>
            <w:noWrap/>
            <w:vAlign w:val="bottom"/>
            <w:hideMark/>
          </w:tcPr>
          <w:p w:rsidR="00316AE0" w:rsidRPr="00385E91" w:rsidRDefault="00316AE0" w:rsidP="003F5DDF">
            <w:pPr>
              <w:jc w:val="left"/>
              <w:rPr>
                <w:color w:val="000000"/>
                <w:sz w:val="24"/>
                <w:szCs w:val="24"/>
                <w:lang w:eastAsia="uk-UA"/>
              </w:rPr>
            </w:pPr>
            <w:r w:rsidRPr="00385E91">
              <w:rPr>
                <w:color w:val="000000"/>
                <w:sz w:val="24"/>
                <w:szCs w:val="24"/>
                <w:lang w:eastAsia="uk-UA"/>
              </w:rPr>
              <w:t> </w:t>
            </w:r>
          </w:p>
        </w:tc>
        <w:tc>
          <w:tcPr>
            <w:tcW w:w="1481" w:type="dxa"/>
            <w:gridSpan w:val="4"/>
            <w:tcBorders>
              <w:top w:val="nil"/>
              <w:left w:val="nil"/>
              <w:bottom w:val="single" w:sz="4" w:space="0" w:color="auto"/>
              <w:right w:val="nil"/>
            </w:tcBorders>
            <w:shd w:val="clear" w:color="auto" w:fill="auto"/>
            <w:noWrap/>
            <w:vAlign w:val="bottom"/>
            <w:hideMark/>
          </w:tcPr>
          <w:p w:rsidR="00316AE0" w:rsidRPr="00385E91" w:rsidRDefault="00316AE0" w:rsidP="003F5DDF">
            <w:pPr>
              <w:jc w:val="left"/>
              <w:rPr>
                <w:color w:val="000000"/>
                <w:sz w:val="24"/>
                <w:szCs w:val="24"/>
                <w:lang w:eastAsia="uk-UA"/>
              </w:rPr>
            </w:pPr>
            <w:r w:rsidRPr="00385E91">
              <w:rPr>
                <w:color w:val="000000"/>
                <w:sz w:val="24"/>
                <w:szCs w:val="24"/>
                <w:lang w:eastAsia="uk-UA"/>
              </w:rPr>
              <w:t>…….</w:t>
            </w:r>
          </w:p>
        </w:tc>
        <w:tc>
          <w:tcPr>
            <w:tcW w:w="989" w:type="dxa"/>
            <w:gridSpan w:val="4"/>
            <w:tcBorders>
              <w:top w:val="nil"/>
              <w:left w:val="nil"/>
              <w:bottom w:val="single" w:sz="4" w:space="0" w:color="auto"/>
              <w:right w:val="nil"/>
            </w:tcBorders>
            <w:shd w:val="clear" w:color="auto" w:fill="auto"/>
            <w:noWrap/>
            <w:vAlign w:val="bottom"/>
            <w:hideMark/>
          </w:tcPr>
          <w:p w:rsidR="00316AE0" w:rsidRPr="00385E91" w:rsidRDefault="00316AE0" w:rsidP="003F5DDF">
            <w:pPr>
              <w:jc w:val="left"/>
              <w:rPr>
                <w:color w:val="000000"/>
                <w:sz w:val="24"/>
                <w:szCs w:val="24"/>
                <w:lang w:eastAsia="uk-UA"/>
              </w:rPr>
            </w:pPr>
            <w:r w:rsidRPr="00385E91">
              <w:rPr>
                <w:color w:val="000000"/>
                <w:sz w:val="24"/>
                <w:szCs w:val="24"/>
                <w:lang w:eastAsia="uk-UA"/>
              </w:rPr>
              <w:t> </w:t>
            </w:r>
          </w:p>
        </w:tc>
        <w:tc>
          <w:tcPr>
            <w:tcW w:w="5869" w:type="dxa"/>
            <w:gridSpan w:val="28"/>
            <w:tcBorders>
              <w:top w:val="nil"/>
              <w:left w:val="nil"/>
              <w:bottom w:val="single" w:sz="4" w:space="0" w:color="auto"/>
              <w:right w:val="nil"/>
            </w:tcBorders>
            <w:shd w:val="clear" w:color="auto" w:fill="auto"/>
            <w:noWrap/>
            <w:vAlign w:val="bottom"/>
            <w:hideMark/>
          </w:tcPr>
          <w:p w:rsidR="00316AE0" w:rsidRPr="00385E91" w:rsidRDefault="00316AE0" w:rsidP="003F5DDF">
            <w:pPr>
              <w:jc w:val="left"/>
              <w:rPr>
                <w:color w:val="000000"/>
                <w:sz w:val="24"/>
                <w:szCs w:val="24"/>
                <w:lang w:eastAsia="uk-UA"/>
              </w:rPr>
            </w:pPr>
            <w:r w:rsidRPr="00385E91">
              <w:rPr>
                <w:color w:val="000000"/>
                <w:sz w:val="24"/>
                <w:szCs w:val="24"/>
                <w:lang w:eastAsia="uk-UA"/>
              </w:rPr>
              <w:t>Розпочаті публічні інвестиційні проекти (програми публічних інвестицій):</w:t>
            </w:r>
          </w:p>
        </w:tc>
        <w:tc>
          <w:tcPr>
            <w:tcW w:w="2122" w:type="dxa"/>
            <w:gridSpan w:val="7"/>
            <w:tcBorders>
              <w:top w:val="nil"/>
              <w:left w:val="nil"/>
              <w:bottom w:val="single" w:sz="4" w:space="0" w:color="auto"/>
              <w:right w:val="nil"/>
            </w:tcBorders>
            <w:shd w:val="clear" w:color="auto" w:fill="auto"/>
            <w:vAlign w:val="bottom"/>
            <w:hideMark/>
          </w:tcPr>
          <w:p w:rsidR="00316AE0" w:rsidRPr="00385E91" w:rsidRDefault="00316AE0" w:rsidP="003F5DDF">
            <w:pPr>
              <w:jc w:val="left"/>
              <w:rPr>
                <w:color w:val="000000"/>
                <w:sz w:val="24"/>
                <w:szCs w:val="24"/>
                <w:lang w:eastAsia="uk-UA"/>
              </w:rPr>
            </w:pPr>
            <w:r w:rsidRPr="00385E91">
              <w:rPr>
                <w:color w:val="000000"/>
                <w:sz w:val="24"/>
                <w:szCs w:val="24"/>
                <w:lang w:eastAsia="uk-UA"/>
              </w:rPr>
              <w:t> </w:t>
            </w:r>
          </w:p>
        </w:tc>
        <w:tc>
          <w:tcPr>
            <w:tcW w:w="332" w:type="dxa"/>
            <w:gridSpan w:val="5"/>
            <w:tcBorders>
              <w:top w:val="nil"/>
              <w:left w:val="nil"/>
              <w:bottom w:val="single" w:sz="4" w:space="0" w:color="auto"/>
              <w:right w:val="nil"/>
            </w:tcBorders>
            <w:shd w:val="clear" w:color="auto" w:fill="auto"/>
            <w:vAlign w:val="bottom"/>
            <w:hideMark/>
          </w:tcPr>
          <w:p w:rsidR="00316AE0" w:rsidRPr="00385E91" w:rsidRDefault="00316AE0" w:rsidP="003F5DDF">
            <w:pPr>
              <w:jc w:val="left"/>
              <w:rPr>
                <w:color w:val="000000"/>
                <w:sz w:val="24"/>
                <w:szCs w:val="24"/>
                <w:lang w:eastAsia="uk-UA"/>
              </w:rPr>
            </w:pPr>
            <w:r w:rsidRPr="00385E91">
              <w:rPr>
                <w:color w:val="000000"/>
                <w:sz w:val="24"/>
                <w:szCs w:val="24"/>
                <w:lang w:eastAsia="uk-UA"/>
              </w:rPr>
              <w:t> </w:t>
            </w:r>
          </w:p>
        </w:tc>
        <w:tc>
          <w:tcPr>
            <w:tcW w:w="799" w:type="dxa"/>
            <w:gridSpan w:val="4"/>
            <w:tcBorders>
              <w:top w:val="nil"/>
              <w:left w:val="nil"/>
              <w:bottom w:val="single" w:sz="4" w:space="0" w:color="auto"/>
              <w:right w:val="nil"/>
            </w:tcBorders>
            <w:shd w:val="clear" w:color="auto" w:fill="auto"/>
            <w:vAlign w:val="bottom"/>
            <w:hideMark/>
          </w:tcPr>
          <w:p w:rsidR="00316AE0" w:rsidRPr="00385E91" w:rsidRDefault="00316AE0" w:rsidP="003F5DDF">
            <w:pPr>
              <w:jc w:val="left"/>
              <w:rPr>
                <w:color w:val="000000"/>
                <w:sz w:val="24"/>
                <w:szCs w:val="24"/>
                <w:lang w:eastAsia="uk-UA"/>
              </w:rPr>
            </w:pPr>
            <w:r w:rsidRPr="00385E91">
              <w:rPr>
                <w:color w:val="000000"/>
                <w:sz w:val="24"/>
                <w:szCs w:val="24"/>
                <w:lang w:eastAsia="uk-UA"/>
              </w:rPr>
              <w:t> </w:t>
            </w:r>
          </w:p>
        </w:tc>
        <w:tc>
          <w:tcPr>
            <w:tcW w:w="1231" w:type="dxa"/>
            <w:gridSpan w:val="5"/>
            <w:tcBorders>
              <w:top w:val="nil"/>
              <w:left w:val="nil"/>
              <w:bottom w:val="single" w:sz="4" w:space="0" w:color="auto"/>
              <w:right w:val="nil"/>
            </w:tcBorders>
            <w:shd w:val="clear" w:color="auto" w:fill="auto"/>
            <w:vAlign w:val="bottom"/>
            <w:hideMark/>
          </w:tcPr>
          <w:p w:rsidR="00316AE0" w:rsidRPr="00385E91" w:rsidRDefault="00316AE0" w:rsidP="003F5DDF">
            <w:pPr>
              <w:jc w:val="left"/>
              <w:rPr>
                <w:color w:val="000000"/>
                <w:sz w:val="24"/>
                <w:szCs w:val="24"/>
                <w:lang w:eastAsia="uk-UA"/>
              </w:rPr>
            </w:pPr>
            <w:r w:rsidRPr="00385E91">
              <w:rPr>
                <w:color w:val="000000"/>
                <w:sz w:val="24"/>
                <w:szCs w:val="24"/>
                <w:lang w:eastAsia="uk-UA"/>
              </w:rPr>
              <w:t> </w:t>
            </w:r>
          </w:p>
        </w:tc>
        <w:tc>
          <w:tcPr>
            <w:tcW w:w="236" w:type="dxa"/>
            <w:gridSpan w:val="3"/>
            <w:tcBorders>
              <w:top w:val="nil"/>
              <w:left w:val="nil"/>
              <w:bottom w:val="single" w:sz="4" w:space="0" w:color="auto"/>
              <w:right w:val="nil"/>
            </w:tcBorders>
          </w:tcPr>
          <w:p w:rsidR="00316AE0" w:rsidRPr="00385E91" w:rsidRDefault="00316AE0" w:rsidP="003F5DDF"/>
        </w:tc>
        <w:tc>
          <w:tcPr>
            <w:tcW w:w="426" w:type="dxa"/>
            <w:gridSpan w:val="5"/>
            <w:tcBorders>
              <w:top w:val="nil"/>
              <w:left w:val="nil"/>
              <w:bottom w:val="single" w:sz="4" w:space="0" w:color="auto"/>
              <w:right w:val="nil"/>
            </w:tcBorders>
            <w:shd w:val="clear" w:color="auto" w:fill="auto"/>
            <w:vAlign w:val="bottom"/>
            <w:hideMark/>
          </w:tcPr>
          <w:p w:rsidR="00316AE0" w:rsidRPr="00385E91" w:rsidRDefault="00316AE0" w:rsidP="003F5DDF">
            <w:pPr>
              <w:jc w:val="left"/>
              <w:rPr>
                <w:color w:val="000000"/>
                <w:sz w:val="24"/>
                <w:szCs w:val="24"/>
                <w:lang w:eastAsia="uk-UA"/>
              </w:rPr>
            </w:pPr>
            <w:r w:rsidRPr="00385E91">
              <w:rPr>
                <w:color w:val="000000"/>
                <w:sz w:val="24"/>
                <w:szCs w:val="24"/>
                <w:lang w:eastAsia="uk-UA"/>
              </w:rPr>
              <w:t> </w:t>
            </w:r>
          </w:p>
        </w:tc>
        <w:tc>
          <w:tcPr>
            <w:tcW w:w="553" w:type="dxa"/>
            <w:gridSpan w:val="4"/>
            <w:tcBorders>
              <w:top w:val="nil"/>
              <w:left w:val="nil"/>
              <w:bottom w:val="single" w:sz="4" w:space="0" w:color="auto"/>
              <w:right w:val="nil"/>
            </w:tcBorders>
            <w:shd w:val="clear" w:color="auto" w:fill="auto"/>
            <w:vAlign w:val="bottom"/>
            <w:hideMark/>
          </w:tcPr>
          <w:p w:rsidR="00316AE0" w:rsidRPr="00385E91" w:rsidRDefault="00316AE0" w:rsidP="003F5DDF">
            <w:pPr>
              <w:jc w:val="left"/>
              <w:rPr>
                <w:color w:val="000000"/>
                <w:sz w:val="24"/>
                <w:szCs w:val="24"/>
                <w:lang w:eastAsia="uk-UA"/>
              </w:rPr>
            </w:pPr>
            <w:r w:rsidRPr="00385E91">
              <w:rPr>
                <w:color w:val="000000"/>
                <w:sz w:val="24"/>
                <w:szCs w:val="24"/>
                <w:lang w:eastAsia="uk-UA"/>
              </w:rPr>
              <w:t> </w:t>
            </w:r>
          </w:p>
        </w:tc>
        <w:tc>
          <w:tcPr>
            <w:tcW w:w="454" w:type="dxa"/>
            <w:gridSpan w:val="7"/>
            <w:tcBorders>
              <w:top w:val="nil"/>
              <w:left w:val="nil"/>
              <w:bottom w:val="single" w:sz="4" w:space="0" w:color="auto"/>
              <w:right w:val="nil"/>
            </w:tcBorders>
            <w:shd w:val="clear" w:color="auto" w:fill="auto"/>
            <w:vAlign w:val="bottom"/>
            <w:hideMark/>
          </w:tcPr>
          <w:p w:rsidR="00316AE0" w:rsidRPr="00385E91" w:rsidRDefault="00316AE0" w:rsidP="003F5DDF">
            <w:pPr>
              <w:jc w:val="left"/>
              <w:rPr>
                <w:color w:val="000000"/>
                <w:sz w:val="24"/>
                <w:szCs w:val="24"/>
                <w:lang w:eastAsia="uk-UA"/>
              </w:rPr>
            </w:pPr>
            <w:r w:rsidRPr="00385E91">
              <w:rPr>
                <w:color w:val="000000"/>
                <w:sz w:val="24"/>
                <w:szCs w:val="24"/>
                <w:lang w:eastAsia="uk-UA"/>
              </w:rPr>
              <w:t> </w:t>
            </w:r>
          </w:p>
        </w:tc>
        <w:tc>
          <w:tcPr>
            <w:tcW w:w="253" w:type="dxa"/>
            <w:gridSpan w:val="2"/>
            <w:tcBorders>
              <w:top w:val="nil"/>
              <w:left w:val="nil"/>
              <w:bottom w:val="nil"/>
              <w:right w:val="nil"/>
            </w:tcBorders>
            <w:shd w:val="clear" w:color="auto" w:fill="auto"/>
            <w:vAlign w:val="bottom"/>
            <w:hideMark/>
          </w:tcPr>
          <w:p w:rsidR="00316AE0" w:rsidRPr="00385E91" w:rsidRDefault="00316AE0" w:rsidP="003F5DDF">
            <w:pPr>
              <w:jc w:val="left"/>
              <w:rPr>
                <w:color w:val="000000"/>
                <w:sz w:val="24"/>
                <w:szCs w:val="24"/>
                <w:lang w:eastAsia="uk-UA"/>
              </w:rPr>
            </w:pPr>
          </w:p>
        </w:tc>
        <w:tc>
          <w:tcPr>
            <w:tcW w:w="349" w:type="dxa"/>
            <w:gridSpan w:val="2"/>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r>
      <w:tr w:rsidR="00316AE0" w:rsidRPr="00385E91" w:rsidTr="003F5DDF">
        <w:trPr>
          <w:gridAfter w:val="6"/>
          <w:wAfter w:w="628" w:type="dxa"/>
          <w:trHeight w:val="312"/>
        </w:trPr>
        <w:tc>
          <w:tcPr>
            <w:tcW w:w="566" w:type="dxa"/>
            <w:gridSpan w:val="2"/>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1278" w:type="dxa"/>
            <w:gridSpan w:val="6"/>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1481" w:type="dxa"/>
            <w:gridSpan w:val="4"/>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989" w:type="dxa"/>
            <w:gridSpan w:val="4"/>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1122" w:type="dxa"/>
            <w:gridSpan w:val="5"/>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1266" w:type="dxa"/>
            <w:gridSpan w:val="4"/>
            <w:tcBorders>
              <w:top w:val="nil"/>
              <w:left w:val="nil"/>
              <w:bottom w:val="nil"/>
              <w:right w:val="nil"/>
            </w:tcBorders>
            <w:shd w:val="clear" w:color="auto" w:fill="auto"/>
            <w:vAlign w:val="bottom"/>
            <w:hideMark/>
          </w:tcPr>
          <w:p w:rsidR="00316AE0" w:rsidRPr="00385E91" w:rsidRDefault="00316AE0" w:rsidP="003F5DDF">
            <w:pPr>
              <w:jc w:val="left"/>
              <w:rPr>
                <w:sz w:val="20"/>
                <w:szCs w:val="20"/>
                <w:lang w:eastAsia="uk-UA"/>
              </w:rPr>
            </w:pPr>
          </w:p>
        </w:tc>
        <w:tc>
          <w:tcPr>
            <w:tcW w:w="713" w:type="dxa"/>
            <w:gridSpan w:val="4"/>
            <w:tcBorders>
              <w:top w:val="nil"/>
              <w:left w:val="nil"/>
              <w:bottom w:val="nil"/>
              <w:right w:val="nil"/>
            </w:tcBorders>
            <w:shd w:val="clear" w:color="auto" w:fill="auto"/>
            <w:vAlign w:val="bottom"/>
            <w:hideMark/>
          </w:tcPr>
          <w:p w:rsidR="00316AE0" w:rsidRPr="00385E91" w:rsidRDefault="00316AE0" w:rsidP="003F5DDF">
            <w:pPr>
              <w:jc w:val="left"/>
              <w:rPr>
                <w:sz w:val="20"/>
                <w:szCs w:val="20"/>
                <w:lang w:eastAsia="uk-UA"/>
              </w:rPr>
            </w:pPr>
          </w:p>
        </w:tc>
        <w:tc>
          <w:tcPr>
            <w:tcW w:w="424" w:type="dxa"/>
            <w:gridSpan w:val="4"/>
            <w:tcBorders>
              <w:top w:val="nil"/>
              <w:left w:val="nil"/>
              <w:bottom w:val="nil"/>
              <w:right w:val="nil"/>
            </w:tcBorders>
            <w:shd w:val="clear" w:color="auto" w:fill="auto"/>
            <w:vAlign w:val="bottom"/>
            <w:hideMark/>
          </w:tcPr>
          <w:p w:rsidR="00316AE0" w:rsidRPr="00385E91" w:rsidRDefault="00316AE0" w:rsidP="003F5DDF">
            <w:pPr>
              <w:jc w:val="left"/>
              <w:rPr>
                <w:sz w:val="20"/>
                <w:szCs w:val="20"/>
                <w:lang w:eastAsia="uk-UA"/>
              </w:rPr>
            </w:pPr>
          </w:p>
        </w:tc>
        <w:tc>
          <w:tcPr>
            <w:tcW w:w="861" w:type="dxa"/>
            <w:gridSpan w:val="4"/>
            <w:tcBorders>
              <w:top w:val="nil"/>
              <w:left w:val="nil"/>
              <w:bottom w:val="nil"/>
              <w:right w:val="nil"/>
            </w:tcBorders>
            <w:shd w:val="clear" w:color="auto" w:fill="auto"/>
            <w:vAlign w:val="bottom"/>
            <w:hideMark/>
          </w:tcPr>
          <w:p w:rsidR="00316AE0" w:rsidRPr="00385E91" w:rsidRDefault="00316AE0" w:rsidP="003F5DDF">
            <w:pPr>
              <w:jc w:val="left"/>
              <w:rPr>
                <w:color w:val="000000"/>
                <w:sz w:val="24"/>
                <w:szCs w:val="24"/>
                <w:lang w:eastAsia="uk-UA"/>
              </w:rPr>
            </w:pPr>
            <w:r w:rsidRPr="00385E91">
              <w:rPr>
                <w:color w:val="000000"/>
                <w:sz w:val="24"/>
                <w:szCs w:val="24"/>
                <w:lang w:eastAsia="uk-UA"/>
              </w:rPr>
              <w:t>х</w:t>
            </w:r>
          </w:p>
        </w:tc>
        <w:tc>
          <w:tcPr>
            <w:tcW w:w="1416" w:type="dxa"/>
            <w:gridSpan w:val="5"/>
            <w:tcBorders>
              <w:top w:val="nil"/>
              <w:left w:val="nil"/>
              <w:bottom w:val="nil"/>
              <w:right w:val="nil"/>
            </w:tcBorders>
            <w:shd w:val="clear" w:color="auto" w:fill="auto"/>
            <w:vAlign w:val="bottom"/>
            <w:hideMark/>
          </w:tcPr>
          <w:p w:rsidR="00316AE0" w:rsidRPr="00385E91" w:rsidRDefault="00316AE0" w:rsidP="003F5DDF">
            <w:pPr>
              <w:jc w:val="left"/>
              <w:rPr>
                <w:color w:val="000000"/>
                <w:sz w:val="24"/>
                <w:szCs w:val="24"/>
                <w:lang w:eastAsia="uk-UA"/>
              </w:rPr>
            </w:pPr>
            <w:r w:rsidRPr="00385E91">
              <w:rPr>
                <w:color w:val="000000"/>
                <w:sz w:val="24"/>
                <w:szCs w:val="24"/>
                <w:lang w:eastAsia="uk-UA"/>
              </w:rPr>
              <w:t>х</w:t>
            </w:r>
          </w:p>
        </w:tc>
        <w:tc>
          <w:tcPr>
            <w:tcW w:w="2098" w:type="dxa"/>
            <w:gridSpan w:val="7"/>
            <w:tcBorders>
              <w:top w:val="nil"/>
              <w:left w:val="nil"/>
              <w:bottom w:val="nil"/>
              <w:right w:val="nil"/>
            </w:tcBorders>
            <w:shd w:val="clear" w:color="auto" w:fill="auto"/>
            <w:vAlign w:val="bottom"/>
            <w:hideMark/>
          </w:tcPr>
          <w:p w:rsidR="00316AE0" w:rsidRPr="00385E91" w:rsidRDefault="00316AE0" w:rsidP="003F5DDF">
            <w:pPr>
              <w:jc w:val="left"/>
              <w:rPr>
                <w:color w:val="000000"/>
                <w:sz w:val="24"/>
                <w:szCs w:val="24"/>
                <w:lang w:eastAsia="uk-UA"/>
              </w:rPr>
            </w:pPr>
            <w:r w:rsidRPr="00385E91">
              <w:rPr>
                <w:color w:val="000000"/>
                <w:sz w:val="24"/>
                <w:szCs w:val="24"/>
                <w:lang w:eastAsia="uk-UA"/>
              </w:rPr>
              <w:t>х</w:t>
            </w:r>
          </w:p>
        </w:tc>
        <w:tc>
          <w:tcPr>
            <w:tcW w:w="327" w:type="dxa"/>
            <w:gridSpan w:val="5"/>
            <w:tcBorders>
              <w:top w:val="nil"/>
              <w:left w:val="nil"/>
              <w:bottom w:val="nil"/>
              <w:right w:val="nil"/>
            </w:tcBorders>
            <w:shd w:val="clear" w:color="auto" w:fill="auto"/>
            <w:vAlign w:val="bottom"/>
            <w:hideMark/>
          </w:tcPr>
          <w:p w:rsidR="00316AE0" w:rsidRPr="00385E91" w:rsidRDefault="00316AE0" w:rsidP="003F5DDF">
            <w:pPr>
              <w:jc w:val="left"/>
              <w:rPr>
                <w:color w:val="000000"/>
                <w:sz w:val="24"/>
                <w:szCs w:val="24"/>
                <w:lang w:eastAsia="uk-UA"/>
              </w:rPr>
            </w:pPr>
          </w:p>
        </w:tc>
        <w:tc>
          <w:tcPr>
            <w:tcW w:w="804" w:type="dxa"/>
            <w:gridSpan w:val="4"/>
            <w:tcBorders>
              <w:top w:val="nil"/>
              <w:left w:val="nil"/>
              <w:bottom w:val="nil"/>
              <w:right w:val="nil"/>
            </w:tcBorders>
            <w:shd w:val="clear" w:color="auto" w:fill="auto"/>
            <w:vAlign w:val="bottom"/>
            <w:hideMark/>
          </w:tcPr>
          <w:p w:rsidR="00316AE0" w:rsidRPr="00385E91" w:rsidRDefault="00316AE0" w:rsidP="003F5DDF">
            <w:pPr>
              <w:jc w:val="left"/>
              <w:rPr>
                <w:sz w:val="20"/>
                <w:szCs w:val="20"/>
                <w:lang w:eastAsia="uk-UA"/>
              </w:rPr>
            </w:pPr>
          </w:p>
        </w:tc>
        <w:tc>
          <w:tcPr>
            <w:tcW w:w="1084" w:type="dxa"/>
            <w:gridSpan w:val="5"/>
            <w:tcBorders>
              <w:top w:val="nil"/>
              <w:left w:val="nil"/>
              <w:bottom w:val="nil"/>
              <w:right w:val="nil"/>
            </w:tcBorders>
            <w:shd w:val="clear" w:color="auto" w:fill="auto"/>
            <w:vAlign w:val="bottom"/>
            <w:hideMark/>
          </w:tcPr>
          <w:p w:rsidR="00316AE0" w:rsidRPr="00385E91" w:rsidRDefault="00316AE0" w:rsidP="003F5DDF">
            <w:pPr>
              <w:jc w:val="left"/>
              <w:rPr>
                <w:sz w:val="20"/>
                <w:szCs w:val="20"/>
                <w:lang w:eastAsia="uk-UA"/>
              </w:rPr>
            </w:pPr>
          </w:p>
        </w:tc>
        <w:tc>
          <w:tcPr>
            <w:tcW w:w="238" w:type="dxa"/>
            <w:gridSpan w:val="2"/>
            <w:tcBorders>
              <w:top w:val="nil"/>
              <w:left w:val="nil"/>
              <w:bottom w:val="nil"/>
              <w:right w:val="nil"/>
            </w:tcBorders>
          </w:tcPr>
          <w:p w:rsidR="00316AE0" w:rsidRPr="00385E91" w:rsidRDefault="00316AE0" w:rsidP="003F5DDF">
            <w:pPr>
              <w:jc w:val="left"/>
              <w:rPr>
                <w:sz w:val="20"/>
                <w:szCs w:val="20"/>
                <w:lang w:eastAsia="uk-UA"/>
              </w:rPr>
            </w:pPr>
          </w:p>
        </w:tc>
        <w:tc>
          <w:tcPr>
            <w:tcW w:w="382" w:type="dxa"/>
            <w:gridSpan w:val="4"/>
            <w:tcBorders>
              <w:top w:val="nil"/>
              <w:left w:val="nil"/>
              <w:bottom w:val="nil"/>
              <w:right w:val="nil"/>
            </w:tcBorders>
            <w:shd w:val="clear" w:color="auto" w:fill="auto"/>
            <w:vAlign w:val="bottom"/>
            <w:hideMark/>
          </w:tcPr>
          <w:p w:rsidR="00316AE0" w:rsidRPr="00385E91" w:rsidRDefault="00316AE0" w:rsidP="003F5DDF">
            <w:pPr>
              <w:jc w:val="left"/>
              <w:rPr>
                <w:sz w:val="20"/>
                <w:szCs w:val="20"/>
                <w:lang w:eastAsia="uk-UA"/>
              </w:rPr>
            </w:pPr>
          </w:p>
        </w:tc>
        <w:tc>
          <w:tcPr>
            <w:tcW w:w="236" w:type="dxa"/>
            <w:gridSpan w:val="2"/>
            <w:tcBorders>
              <w:top w:val="nil"/>
              <w:left w:val="nil"/>
              <w:bottom w:val="nil"/>
              <w:right w:val="nil"/>
            </w:tcBorders>
            <w:shd w:val="clear" w:color="auto" w:fill="auto"/>
            <w:vAlign w:val="bottom"/>
            <w:hideMark/>
          </w:tcPr>
          <w:p w:rsidR="00316AE0" w:rsidRPr="00385E91" w:rsidRDefault="00316AE0" w:rsidP="003F5DDF">
            <w:pPr>
              <w:jc w:val="left"/>
              <w:rPr>
                <w:sz w:val="20"/>
                <w:szCs w:val="20"/>
                <w:lang w:eastAsia="uk-UA"/>
              </w:rPr>
            </w:pPr>
          </w:p>
        </w:tc>
        <w:tc>
          <w:tcPr>
            <w:tcW w:w="553" w:type="dxa"/>
            <w:gridSpan w:val="4"/>
            <w:tcBorders>
              <w:top w:val="nil"/>
              <w:left w:val="nil"/>
              <w:bottom w:val="nil"/>
              <w:right w:val="nil"/>
            </w:tcBorders>
            <w:shd w:val="clear" w:color="auto" w:fill="auto"/>
            <w:vAlign w:val="bottom"/>
            <w:hideMark/>
          </w:tcPr>
          <w:p w:rsidR="00316AE0" w:rsidRPr="00385E91" w:rsidRDefault="00316AE0" w:rsidP="003F5DDF">
            <w:pPr>
              <w:jc w:val="left"/>
              <w:rPr>
                <w:sz w:val="20"/>
                <w:szCs w:val="20"/>
                <w:lang w:eastAsia="uk-UA"/>
              </w:rPr>
            </w:pPr>
          </w:p>
        </w:tc>
        <w:tc>
          <w:tcPr>
            <w:tcW w:w="236" w:type="dxa"/>
            <w:gridSpan w:val="3"/>
            <w:tcBorders>
              <w:top w:val="nil"/>
              <w:left w:val="nil"/>
              <w:bottom w:val="nil"/>
              <w:right w:val="nil"/>
            </w:tcBorders>
            <w:shd w:val="clear" w:color="auto" w:fill="auto"/>
            <w:vAlign w:val="bottom"/>
            <w:hideMark/>
          </w:tcPr>
          <w:p w:rsidR="00316AE0" w:rsidRPr="00385E91" w:rsidRDefault="00316AE0" w:rsidP="003F5DDF">
            <w:pPr>
              <w:jc w:val="left"/>
              <w:rPr>
                <w:sz w:val="20"/>
                <w:szCs w:val="20"/>
                <w:lang w:eastAsia="uk-UA"/>
              </w:rPr>
            </w:pPr>
          </w:p>
        </w:tc>
        <w:tc>
          <w:tcPr>
            <w:tcW w:w="236" w:type="dxa"/>
            <w:gridSpan w:val="4"/>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r>
      <w:tr w:rsidR="00316AE0" w:rsidRPr="00385E91" w:rsidTr="003F5DDF">
        <w:trPr>
          <w:trHeight w:val="312"/>
        </w:trPr>
        <w:tc>
          <w:tcPr>
            <w:tcW w:w="568" w:type="dxa"/>
            <w:gridSpan w:val="3"/>
            <w:tcBorders>
              <w:top w:val="nil"/>
              <w:left w:val="nil"/>
              <w:bottom w:val="single" w:sz="4" w:space="0" w:color="auto"/>
              <w:right w:val="nil"/>
            </w:tcBorders>
            <w:shd w:val="clear" w:color="auto" w:fill="auto"/>
            <w:noWrap/>
            <w:vAlign w:val="bottom"/>
            <w:hideMark/>
          </w:tcPr>
          <w:p w:rsidR="00316AE0" w:rsidRPr="00385E91" w:rsidRDefault="00316AE0" w:rsidP="003F5DDF">
            <w:pPr>
              <w:jc w:val="left"/>
              <w:rPr>
                <w:color w:val="000000"/>
                <w:sz w:val="24"/>
                <w:szCs w:val="24"/>
                <w:lang w:eastAsia="uk-UA"/>
              </w:rPr>
            </w:pPr>
            <w:r w:rsidRPr="00385E91">
              <w:rPr>
                <w:color w:val="000000"/>
                <w:sz w:val="24"/>
                <w:szCs w:val="24"/>
                <w:lang w:eastAsia="uk-UA"/>
              </w:rPr>
              <w:t> </w:t>
            </w:r>
          </w:p>
        </w:tc>
        <w:tc>
          <w:tcPr>
            <w:tcW w:w="1276" w:type="dxa"/>
            <w:gridSpan w:val="5"/>
            <w:tcBorders>
              <w:top w:val="nil"/>
              <w:left w:val="nil"/>
              <w:bottom w:val="single" w:sz="4" w:space="0" w:color="auto"/>
              <w:right w:val="nil"/>
            </w:tcBorders>
            <w:shd w:val="clear" w:color="auto" w:fill="auto"/>
            <w:noWrap/>
            <w:vAlign w:val="bottom"/>
            <w:hideMark/>
          </w:tcPr>
          <w:p w:rsidR="00316AE0" w:rsidRPr="00385E91" w:rsidRDefault="00316AE0" w:rsidP="003F5DDF">
            <w:pPr>
              <w:jc w:val="left"/>
              <w:rPr>
                <w:color w:val="000000"/>
                <w:sz w:val="24"/>
                <w:szCs w:val="24"/>
                <w:lang w:eastAsia="uk-UA"/>
              </w:rPr>
            </w:pPr>
            <w:r w:rsidRPr="00385E91">
              <w:rPr>
                <w:color w:val="000000"/>
                <w:sz w:val="24"/>
                <w:szCs w:val="24"/>
                <w:lang w:eastAsia="uk-UA"/>
              </w:rPr>
              <w:t> </w:t>
            </w:r>
          </w:p>
        </w:tc>
        <w:tc>
          <w:tcPr>
            <w:tcW w:w="1485" w:type="dxa"/>
            <w:gridSpan w:val="5"/>
            <w:tcBorders>
              <w:top w:val="nil"/>
              <w:left w:val="nil"/>
              <w:bottom w:val="single" w:sz="4" w:space="0" w:color="auto"/>
              <w:right w:val="nil"/>
            </w:tcBorders>
            <w:shd w:val="clear" w:color="auto" w:fill="auto"/>
            <w:noWrap/>
            <w:vAlign w:val="bottom"/>
            <w:hideMark/>
          </w:tcPr>
          <w:p w:rsidR="00316AE0" w:rsidRPr="00385E91" w:rsidRDefault="00316AE0" w:rsidP="003F5DDF">
            <w:pPr>
              <w:jc w:val="left"/>
              <w:rPr>
                <w:color w:val="000000"/>
                <w:sz w:val="24"/>
                <w:szCs w:val="24"/>
                <w:lang w:eastAsia="uk-UA"/>
              </w:rPr>
            </w:pPr>
            <w:r w:rsidRPr="00385E91">
              <w:rPr>
                <w:color w:val="000000"/>
                <w:sz w:val="24"/>
                <w:szCs w:val="24"/>
                <w:lang w:eastAsia="uk-UA"/>
              </w:rPr>
              <w:t>………</w:t>
            </w:r>
          </w:p>
        </w:tc>
        <w:tc>
          <w:tcPr>
            <w:tcW w:w="989" w:type="dxa"/>
            <w:gridSpan w:val="4"/>
            <w:tcBorders>
              <w:top w:val="nil"/>
              <w:left w:val="nil"/>
              <w:bottom w:val="single" w:sz="4" w:space="0" w:color="auto"/>
              <w:right w:val="nil"/>
            </w:tcBorders>
            <w:shd w:val="clear" w:color="auto" w:fill="auto"/>
            <w:noWrap/>
            <w:vAlign w:val="bottom"/>
            <w:hideMark/>
          </w:tcPr>
          <w:p w:rsidR="00316AE0" w:rsidRPr="00385E91" w:rsidRDefault="00316AE0" w:rsidP="003F5DDF">
            <w:pPr>
              <w:jc w:val="left"/>
              <w:rPr>
                <w:color w:val="000000"/>
                <w:sz w:val="24"/>
                <w:szCs w:val="24"/>
                <w:lang w:eastAsia="uk-UA"/>
              </w:rPr>
            </w:pPr>
            <w:r w:rsidRPr="00385E91">
              <w:rPr>
                <w:color w:val="000000"/>
                <w:sz w:val="24"/>
                <w:szCs w:val="24"/>
                <w:lang w:eastAsia="uk-UA"/>
              </w:rPr>
              <w:t> </w:t>
            </w:r>
          </w:p>
        </w:tc>
        <w:tc>
          <w:tcPr>
            <w:tcW w:w="5869" w:type="dxa"/>
            <w:gridSpan w:val="28"/>
            <w:tcBorders>
              <w:top w:val="nil"/>
              <w:left w:val="nil"/>
              <w:bottom w:val="single" w:sz="4" w:space="0" w:color="auto"/>
              <w:right w:val="nil"/>
            </w:tcBorders>
            <w:shd w:val="clear" w:color="auto" w:fill="auto"/>
            <w:noWrap/>
            <w:vAlign w:val="bottom"/>
            <w:hideMark/>
          </w:tcPr>
          <w:p w:rsidR="00316AE0" w:rsidRPr="00385E91" w:rsidRDefault="00316AE0" w:rsidP="003F5DDF">
            <w:pPr>
              <w:jc w:val="left"/>
              <w:rPr>
                <w:color w:val="000000"/>
                <w:sz w:val="24"/>
                <w:szCs w:val="24"/>
                <w:lang w:eastAsia="uk-UA"/>
              </w:rPr>
            </w:pPr>
            <w:r w:rsidRPr="00385E91">
              <w:rPr>
                <w:color w:val="000000"/>
                <w:sz w:val="24"/>
                <w:szCs w:val="24"/>
                <w:lang w:eastAsia="uk-UA"/>
              </w:rPr>
              <w:t>Нові публічні інвестиційні проекти (програми публічних інвестицій):</w:t>
            </w:r>
          </w:p>
        </w:tc>
        <w:tc>
          <w:tcPr>
            <w:tcW w:w="2122" w:type="dxa"/>
            <w:gridSpan w:val="7"/>
            <w:tcBorders>
              <w:top w:val="nil"/>
              <w:left w:val="nil"/>
              <w:bottom w:val="single" w:sz="4" w:space="0" w:color="auto"/>
              <w:right w:val="nil"/>
            </w:tcBorders>
            <w:shd w:val="clear" w:color="auto" w:fill="auto"/>
            <w:vAlign w:val="bottom"/>
            <w:hideMark/>
          </w:tcPr>
          <w:p w:rsidR="00316AE0" w:rsidRPr="00385E91" w:rsidRDefault="00316AE0" w:rsidP="003F5DDF">
            <w:pPr>
              <w:jc w:val="left"/>
              <w:rPr>
                <w:color w:val="000000"/>
                <w:sz w:val="24"/>
                <w:szCs w:val="24"/>
                <w:lang w:eastAsia="uk-UA"/>
              </w:rPr>
            </w:pPr>
            <w:r w:rsidRPr="00385E91">
              <w:rPr>
                <w:color w:val="000000"/>
                <w:sz w:val="24"/>
                <w:szCs w:val="24"/>
                <w:lang w:eastAsia="uk-UA"/>
              </w:rPr>
              <w:t> </w:t>
            </w:r>
          </w:p>
        </w:tc>
        <w:tc>
          <w:tcPr>
            <w:tcW w:w="332" w:type="dxa"/>
            <w:gridSpan w:val="5"/>
            <w:tcBorders>
              <w:top w:val="nil"/>
              <w:left w:val="nil"/>
              <w:bottom w:val="single" w:sz="4" w:space="0" w:color="auto"/>
              <w:right w:val="nil"/>
            </w:tcBorders>
            <w:shd w:val="clear" w:color="auto" w:fill="auto"/>
            <w:vAlign w:val="bottom"/>
            <w:hideMark/>
          </w:tcPr>
          <w:p w:rsidR="00316AE0" w:rsidRPr="00385E91" w:rsidRDefault="00316AE0" w:rsidP="003F5DDF">
            <w:pPr>
              <w:jc w:val="left"/>
              <w:rPr>
                <w:color w:val="000000"/>
                <w:sz w:val="24"/>
                <w:szCs w:val="24"/>
                <w:lang w:eastAsia="uk-UA"/>
              </w:rPr>
            </w:pPr>
            <w:r w:rsidRPr="00385E91">
              <w:rPr>
                <w:color w:val="000000"/>
                <w:sz w:val="24"/>
                <w:szCs w:val="24"/>
                <w:lang w:eastAsia="uk-UA"/>
              </w:rPr>
              <w:t> </w:t>
            </w:r>
          </w:p>
        </w:tc>
        <w:tc>
          <w:tcPr>
            <w:tcW w:w="799" w:type="dxa"/>
            <w:gridSpan w:val="4"/>
            <w:tcBorders>
              <w:top w:val="nil"/>
              <w:left w:val="nil"/>
              <w:bottom w:val="single" w:sz="4" w:space="0" w:color="auto"/>
              <w:right w:val="nil"/>
            </w:tcBorders>
            <w:shd w:val="clear" w:color="auto" w:fill="auto"/>
            <w:vAlign w:val="bottom"/>
            <w:hideMark/>
          </w:tcPr>
          <w:p w:rsidR="00316AE0" w:rsidRPr="00385E91" w:rsidRDefault="00316AE0" w:rsidP="003F5DDF">
            <w:pPr>
              <w:jc w:val="left"/>
              <w:rPr>
                <w:color w:val="000000"/>
                <w:sz w:val="24"/>
                <w:szCs w:val="24"/>
                <w:lang w:eastAsia="uk-UA"/>
              </w:rPr>
            </w:pPr>
            <w:r w:rsidRPr="00385E91">
              <w:rPr>
                <w:color w:val="000000"/>
                <w:sz w:val="24"/>
                <w:szCs w:val="24"/>
                <w:lang w:eastAsia="uk-UA"/>
              </w:rPr>
              <w:t> </w:t>
            </w:r>
          </w:p>
        </w:tc>
        <w:tc>
          <w:tcPr>
            <w:tcW w:w="1231" w:type="dxa"/>
            <w:gridSpan w:val="5"/>
            <w:tcBorders>
              <w:top w:val="nil"/>
              <w:left w:val="nil"/>
              <w:bottom w:val="single" w:sz="4" w:space="0" w:color="auto"/>
              <w:right w:val="nil"/>
            </w:tcBorders>
            <w:shd w:val="clear" w:color="auto" w:fill="auto"/>
            <w:vAlign w:val="bottom"/>
            <w:hideMark/>
          </w:tcPr>
          <w:p w:rsidR="00316AE0" w:rsidRPr="00385E91" w:rsidRDefault="00316AE0" w:rsidP="003F5DDF">
            <w:pPr>
              <w:jc w:val="left"/>
              <w:rPr>
                <w:color w:val="000000"/>
                <w:sz w:val="24"/>
                <w:szCs w:val="24"/>
                <w:lang w:eastAsia="uk-UA"/>
              </w:rPr>
            </w:pPr>
            <w:r w:rsidRPr="00385E91">
              <w:rPr>
                <w:color w:val="000000"/>
                <w:sz w:val="24"/>
                <w:szCs w:val="24"/>
                <w:lang w:eastAsia="uk-UA"/>
              </w:rPr>
              <w:t> </w:t>
            </w:r>
          </w:p>
        </w:tc>
        <w:tc>
          <w:tcPr>
            <w:tcW w:w="382" w:type="dxa"/>
            <w:gridSpan w:val="4"/>
            <w:tcBorders>
              <w:top w:val="nil"/>
              <w:left w:val="nil"/>
              <w:bottom w:val="single" w:sz="4" w:space="0" w:color="auto"/>
              <w:right w:val="nil"/>
            </w:tcBorders>
          </w:tcPr>
          <w:p w:rsidR="00316AE0" w:rsidRPr="00385E91" w:rsidRDefault="00316AE0" w:rsidP="003F5DDF">
            <w:pPr>
              <w:jc w:val="left"/>
              <w:rPr>
                <w:color w:val="000000"/>
                <w:sz w:val="24"/>
                <w:szCs w:val="24"/>
                <w:lang w:eastAsia="uk-UA"/>
              </w:rPr>
            </w:pPr>
          </w:p>
        </w:tc>
        <w:tc>
          <w:tcPr>
            <w:tcW w:w="236" w:type="dxa"/>
            <w:gridSpan w:val="2"/>
            <w:tcBorders>
              <w:top w:val="nil"/>
              <w:left w:val="nil"/>
              <w:bottom w:val="single" w:sz="4" w:space="0" w:color="auto"/>
              <w:right w:val="nil"/>
            </w:tcBorders>
            <w:shd w:val="clear" w:color="auto" w:fill="auto"/>
            <w:vAlign w:val="bottom"/>
            <w:hideMark/>
          </w:tcPr>
          <w:p w:rsidR="00316AE0" w:rsidRPr="00385E91" w:rsidRDefault="00316AE0" w:rsidP="003F5DDF">
            <w:pPr>
              <w:jc w:val="left"/>
              <w:rPr>
                <w:color w:val="000000"/>
                <w:sz w:val="24"/>
                <w:szCs w:val="24"/>
                <w:lang w:eastAsia="uk-UA"/>
              </w:rPr>
            </w:pPr>
            <w:r w:rsidRPr="00385E91">
              <w:rPr>
                <w:color w:val="000000"/>
                <w:sz w:val="24"/>
                <w:szCs w:val="24"/>
                <w:lang w:eastAsia="uk-UA"/>
              </w:rPr>
              <w:t> </w:t>
            </w:r>
          </w:p>
        </w:tc>
        <w:tc>
          <w:tcPr>
            <w:tcW w:w="553" w:type="dxa"/>
            <w:gridSpan w:val="4"/>
            <w:tcBorders>
              <w:top w:val="nil"/>
              <w:left w:val="nil"/>
              <w:bottom w:val="single" w:sz="4" w:space="0" w:color="auto"/>
              <w:right w:val="nil"/>
            </w:tcBorders>
            <w:shd w:val="clear" w:color="auto" w:fill="auto"/>
            <w:vAlign w:val="bottom"/>
            <w:hideMark/>
          </w:tcPr>
          <w:p w:rsidR="00316AE0" w:rsidRPr="00385E91" w:rsidRDefault="00316AE0" w:rsidP="003F5DDF">
            <w:pPr>
              <w:jc w:val="left"/>
              <w:rPr>
                <w:color w:val="000000"/>
                <w:sz w:val="24"/>
                <w:szCs w:val="24"/>
                <w:lang w:eastAsia="uk-UA"/>
              </w:rPr>
            </w:pPr>
            <w:r w:rsidRPr="00385E91">
              <w:rPr>
                <w:color w:val="000000"/>
                <w:sz w:val="24"/>
                <w:szCs w:val="24"/>
                <w:lang w:eastAsia="uk-UA"/>
              </w:rPr>
              <w:t> </w:t>
            </w:r>
          </w:p>
        </w:tc>
        <w:tc>
          <w:tcPr>
            <w:tcW w:w="454" w:type="dxa"/>
            <w:gridSpan w:val="5"/>
            <w:tcBorders>
              <w:top w:val="nil"/>
              <w:left w:val="nil"/>
              <w:bottom w:val="single" w:sz="4" w:space="0" w:color="auto"/>
              <w:right w:val="nil"/>
            </w:tcBorders>
            <w:shd w:val="clear" w:color="auto" w:fill="auto"/>
            <w:vAlign w:val="bottom"/>
            <w:hideMark/>
          </w:tcPr>
          <w:p w:rsidR="00316AE0" w:rsidRPr="00385E91" w:rsidRDefault="00316AE0" w:rsidP="003F5DDF">
            <w:pPr>
              <w:jc w:val="left"/>
              <w:rPr>
                <w:color w:val="000000"/>
                <w:sz w:val="24"/>
                <w:szCs w:val="24"/>
                <w:lang w:eastAsia="uk-UA"/>
              </w:rPr>
            </w:pPr>
            <w:r w:rsidRPr="00385E91">
              <w:rPr>
                <w:color w:val="000000"/>
                <w:sz w:val="24"/>
                <w:szCs w:val="24"/>
                <w:lang w:eastAsia="uk-UA"/>
              </w:rPr>
              <w:t> </w:t>
            </w:r>
          </w:p>
        </w:tc>
        <w:tc>
          <w:tcPr>
            <w:tcW w:w="253" w:type="dxa"/>
            <w:gridSpan w:val="4"/>
            <w:tcBorders>
              <w:top w:val="nil"/>
              <w:left w:val="nil"/>
              <w:bottom w:val="nil"/>
              <w:right w:val="nil"/>
            </w:tcBorders>
            <w:shd w:val="clear" w:color="auto" w:fill="auto"/>
            <w:vAlign w:val="bottom"/>
            <w:hideMark/>
          </w:tcPr>
          <w:p w:rsidR="00316AE0" w:rsidRPr="00385E91" w:rsidRDefault="00316AE0" w:rsidP="003F5DDF">
            <w:pPr>
              <w:jc w:val="left"/>
              <w:rPr>
                <w:color w:val="000000"/>
                <w:sz w:val="24"/>
                <w:szCs w:val="24"/>
                <w:lang w:eastAsia="uk-UA"/>
              </w:rPr>
            </w:pPr>
          </w:p>
        </w:tc>
        <w:tc>
          <w:tcPr>
            <w:tcW w:w="389" w:type="dxa"/>
            <w:gridSpan w:val="3"/>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r>
      <w:tr w:rsidR="00316AE0" w:rsidRPr="00385E91" w:rsidTr="003F5DDF">
        <w:trPr>
          <w:gridAfter w:val="5"/>
          <w:wAfter w:w="624" w:type="dxa"/>
          <w:trHeight w:val="312"/>
        </w:trPr>
        <w:tc>
          <w:tcPr>
            <w:tcW w:w="568" w:type="dxa"/>
            <w:gridSpan w:val="3"/>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1276" w:type="dxa"/>
            <w:gridSpan w:val="5"/>
            <w:tcBorders>
              <w:top w:val="nil"/>
              <w:left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1485" w:type="dxa"/>
            <w:gridSpan w:val="5"/>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989" w:type="dxa"/>
            <w:gridSpan w:val="4"/>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1122" w:type="dxa"/>
            <w:gridSpan w:val="5"/>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1266" w:type="dxa"/>
            <w:gridSpan w:val="4"/>
            <w:tcBorders>
              <w:top w:val="nil"/>
              <w:left w:val="nil"/>
              <w:bottom w:val="nil"/>
              <w:right w:val="nil"/>
            </w:tcBorders>
            <w:shd w:val="clear" w:color="auto" w:fill="auto"/>
            <w:vAlign w:val="bottom"/>
            <w:hideMark/>
          </w:tcPr>
          <w:p w:rsidR="00316AE0" w:rsidRPr="00385E91" w:rsidRDefault="00316AE0" w:rsidP="003F5DDF">
            <w:pPr>
              <w:jc w:val="left"/>
              <w:rPr>
                <w:sz w:val="20"/>
                <w:szCs w:val="20"/>
                <w:lang w:eastAsia="uk-UA"/>
              </w:rPr>
            </w:pPr>
          </w:p>
        </w:tc>
        <w:tc>
          <w:tcPr>
            <w:tcW w:w="713" w:type="dxa"/>
            <w:gridSpan w:val="4"/>
            <w:tcBorders>
              <w:top w:val="nil"/>
              <w:left w:val="nil"/>
              <w:bottom w:val="nil"/>
              <w:right w:val="nil"/>
            </w:tcBorders>
            <w:shd w:val="clear" w:color="auto" w:fill="auto"/>
            <w:vAlign w:val="bottom"/>
            <w:hideMark/>
          </w:tcPr>
          <w:p w:rsidR="00316AE0" w:rsidRPr="00385E91" w:rsidRDefault="00316AE0" w:rsidP="003F5DDF">
            <w:pPr>
              <w:jc w:val="left"/>
              <w:rPr>
                <w:sz w:val="20"/>
                <w:szCs w:val="20"/>
                <w:lang w:eastAsia="uk-UA"/>
              </w:rPr>
            </w:pPr>
          </w:p>
        </w:tc>
        <w:tc>
          <w:tcPr>
            <w:tcW w:w="424" w:type="dxa"/>
            <w:gridSpan w:val="4"/>
            <w:tcBorders>
              <w:top w:val="nil"/>
              <w:left w:val="nil"/>
              <w:bottom w:val="nil"/>
              <w:right w:val="nil"/>
            </w:tcBorders>
            <w:shd w:val="clear" w:color="auto" w:fill="auto"/>
            <w:vAlign w:val="bottom"/>
            <w:hideMark/>
          </w:tcPr>
          <w:p w:rsidR="00316AE0" w:rsidRPr="00385E91" w:rsidRDefault="00316AE0" w:rsidP="003F5DDF">
            <w:pPr>
              <w:jc w:val="left"/>
              <w:rPr>
                <w:sz w:val="20"/>
                <w:szCs w:val="20"/>
                <w:lang w:eastAsia="uk-UA"/>
              </w:rPr>
            </w:pPr>
          </w:p>
        </w:tc>
        <w:tc>
          <w:tcPr>
            <w:tcW w:w="861" w:type="dxa"/>
            <w:gridSpan w:val="4"/>
            <w:tcBorders>
              <w:top w:val="nil"/>
              <w:left w:val="nil"/>
              <w:bottom w:val="nil"/>
              <w:right w:val="nil"/>
            </w:tcBorders>
            <w:shd w:val="clear" w:color="auto" w:fill="auto"/>
            <w:vAlign w:val="bottom"/>
            <w:hideMark/>
          </w:tcPr>
          <w:p w:rsidR="00316AE0" w:rsidRPr="00385E91" w:rsidRDefault="00316AE0" w:rsidP="003F5DDF">
            <w:pPr>
              <w:jc w:val="left"/>
              <w:rPr>
                <w:sz w:val="20"/>
                <w:szCs w:val="20"/>
                <w:lang w:eastAsia="uk-UA"/>
              </w:rPr>
            </w:pPr>
          </w:p>
        </w:tc>
        <w:tc>
          <w:tcPr>
            <w:tcW w:w="1416" w:type="dxa"/>
            <w:gridSpan w:val="5"/>
            <w:tcBorders>
              <w:top w:val="nil"/>
              <w:left w:val="nil"/>
              <w:bottom w:val="nil"/>
              <w:right w:val="nil"/>
            </w:tcBorders>
            <w:shd w:val="clear" w:color="auto" w:fill="auto"/>
            <w:vAlign w:val="bottom"/>
            <w:hideMark/>
          </w:tcPr>
          <w:p w:rsidR="00316AE0" w:rsidRPr="00385E91" w:rsidRDefault="00316AE0" w:rsidP="003F5DDF">
            <w:pPr>
              <w:jc w:val="left"/>
              <w:rPr>
                <w:sz w:val="20"/>
                <w:szCs w:val="20"/>
                <w:lang w:eastAsia="uk-UA"/>
              </w:rPr>
            </w:pPr>
          </w:p>
        </w:tc>
        <w:tc>
          <w:tcPr>
            <w:tcW w:w="2098" w:type="dxa"/>
            <w:gridSpan w:val="7"/>
            <w:tcBorders>
              <w:top w:val="nil"/>
              <w:left w:val="nil"/>
              <w:bottom w:val="nil"/>
              <w:right w:val="nil"/>
            </w:tcBorders>
            <w:shd w:val="clear" w:color="auto" w:fill="auto"/>
            <w:vAlign w:val="bottom"/>
            <w:hideMark/>
          </w:tcPr>
          <w:p w:rsidR="00316AE0" w:rsidRPr="00385E91" w:rsidRDefault="00316AE0" w:rsidP="003F5DDF">
            <w:pPr>
              <w:jc w:val="left"/>
              <w:rPr>
                <w:sz w:val="20"/>
                <w:szCs w:val="20"/>
                <w:lang w:eastAsia="uk-UA"/>
              </w:rPr>
            </w:pPr>
          </w:p>
        </w:tc>
        <w:tc>
          <w:tcPr>
            <w:tcW w:w="327" w:type="dxa"/>
            <w:gridSpan w:val="5"/>
            <w:tcBorders>
              <w:top w:val="nil"/>
              <w:left w:val="nil"/>
              <w:bottom w:val="nil"/>
              <w:right w:val="nil"/>
            </w:tcBorders>
            <w:shd w:val="clear" w:color="auto" w:fill="auto"/>
            <w:vAlign w:val="bottom"/>
            <w:hideMark/>
          </w:tcPr>
          <w:p w:rsidR="00316AE0" w:rsidRPr="00385E91" w:rsidRDefault="00316AE0" w:rsidP="003F5DDF">
            <w:pPr>
              <w:jc w:val="left"/>
              <w:rPr>
                <w:sz w:val="20"/>
                <w:szCs w:val="20"/>
                <w:lang w:eastAsia="uk-UA"/>
              </w:rPr>
            </w:pPr>
          </w:p>
        </w:tc>
        <w:tc>
          <w:tcPr>
            <w:tcW w:w="804" w:type="dxa"/>
            <w:gridSpan w:val="4"/>
            <w:tcBorders>
              <w:top w:val="nil"/>
              <w:left w:val="nil"/>
              <w:bottom w:val="nil"/>
              <w:right w:val="nil"/>
            </w:tcBorders>
            <w:shd w:val="clear" w:color="auto" w:fill="auto"/>
            <w:vAlign w:val="bottom"/>
            <w:hideMark/>
          </w:tcPr>
          <w:p w:rsidR="00316AE0" w:rsidRPr="00385E91" w:rsidRDefault="00316AE0" w:rsidP="003F5DDF">
            <w:pPr>
              <w:jc w:val="left"/>
              <w:rPr>
                <w:sz w:val="20"/>
                <w:szCs w:val="20"/>
                <w:lang w:eastAsia="uk-UA"/>
              </w:rPr>
            </w:pPr>
          </w:p>
        </w:tc>
        <w:tc>
          <w:tcPr>
            <w:tcW w:w="1084" w:type="dxa"/>
            <w:gridSpan w:val="5"/>
            <w:tcBorders>
              <w:top w:val="nil"/>
              <w:left w:val="nil"/>
              <w:bottom w:val="nil"/>
              <w:right w:val="nil"/>
            </w:tcBorders>
            <w:shd w:val="clear" w:color="auto" w:fill="auto"/>
            <w:vAlign w:val="bottom"/>
            <w:hideMark/>
          </w:tcPr>
          <w:p w:rsidR="00316AE0" w:rsidRPr="00385E91" w:rsidRDefault="00316AE0" w:rsidP="003F5DDF">
            <w:pPr>
              <w:jc w:val="left"/>
              <w:rPr>
                <w:sz w:val="20"/>
                <w:szCs w:val="20"/>
                <w:lang w:eastAsia="uk-UA"/>
              </w:rPr>
            </w:pPr>
          </w:p>
        </w:tc>
        <w:tc>
          <w:tcPr>
            <w:tcW w:w="238" w:type="dxa"/>
            <w:gridSpan w:val="2"/>
            <w:tcBorders>
              <w:top w:val="nil"/>
              <w:left w:val="nil"/>
              <w:bottom w:val="nil"/>
              <w:right w:val="nil"/>
            </w:tcBorders>
          </w:tcPr>
          <w:p w:rsidR="00316AE0" w:rsidRPr="00385E91" w:rsidRDefault="00316AE0" w:rsidP="003F5DDF">
            <w:pPr>
              <w:jc w:val="left"/>
              <w:rPr>
                <w:sz w:val="20"/>
                <w:szCs w:val="20"/>
                <w:lang w:eastAsia="uk-UA"/>
              </w:rPr>
            </w:pPr>
          </w:p>
        </w:tc>
        <w:tc>
          <w:tcPr>
            <w:tcW w:w="382" w:type="dxa"/>
            <w:gridSpan w:val="4"/>
            <w:tcBorders>
              <w:top w:val="nil"/>
              <w:left w:val="nil"/>
              <w:bottom w:val="nil"/>
              <w:right w:val="nil"/>
            </w:tcBorders>
            <w:shd w:val="clear" w:color="auto" w:fill="auto"/>
            <w:vAlign w:val="bottom"/>
            <w:hideMark/>
          </w:tcPr>
          <w:p w:rsidR="00316AE0" w:rsidRPr="00385E91" w:rsidRDefault="00316AE0" w:rsidP="003F5DDF">
            <w:pPr>
              <w:jc w:val="left"/>
              <w:rPr>
                <w:sz w:val="20"/>
                <w:szCs w:val="20"/>
                <w:lang w:eastAsia="uk-UA"/>
              </w:rPr>
            </w:pPr>
          </w:p>
        </w:tc>
        <w:tc>
          <w:tcPr>
            <w:tcW w:w="236" w:type="dxa"/>
            <w:gridSpan w:val="2"/>
            <w:tcBorders>
              <w:top w:val="nil"/>
              <w:left w:val="nil"/>
              <w:bottom w:val="nil"/>
              <w:right w:val="nil"/>
            </w:tcBorders>
            <w:shd w:val="clear" w:color="auto" w:fill="auto"/>
            <w:vAlign w:val="bottom"/>
            <w:hideMark/>
          </w:tcPr>
          <w:p w:rsidR="00316AE0" w:rsidRPr="00385E91" w:rsidRDefault="00316AE0" w:rsidP="003F5DDF">
            <w:pPr>
              <w:jc w:val="left"/>
              <w:rPr>
                <w:sz w:val="20"/>
                <w:szCs w:val="20"/>
                <w:lang w:eastAsia="uk-UA"/>
              </w:rPr>
            </w:pPr>
          </w:p>
        </w:tc>
        <w:tc>
          <w:tcPr>
            <w:tcW w:w="553" w:type="dxa"/>
            <w:gridSpan w:val="4"/>
            <w:tcBorders>
              <w:top w:val="nil"/>
              <w:left w:val="nil"/>
              <w:bottom w:val="nil"/>
              <w:right w:val="nil"/>
            </w:tcBorders>
            <w:shd w:val="clear" w:color="auto" w:fill="auto"/>
            <w:vAlign w:val="bottom"/>
            <w:hideMark/>
          </w:tcPr>
          <w:p w:rsidR="00316AE0" w:rsidRPr="00385E91" w:rsidRDefault="00316AE0" w:rsidP="003F5DDF">
            <w:pPr>
              <w:jc w:val="left"/>
              <w:rPr>
                <w:sz w:val="20"/>
                <w:szCs w:val="20"/>
                <w:lang w:eastAsia="uk-UA"/>
              </w:rPr>
            </w:pPr>
          </w:p>
        </w:tc>
        <w:tc>
          <w:tcPr>
            <w:tcW w:w="236" w:type="dxa"/>
            <w:gridSpan w:val="3"/>
            <w:tcBorders>
              <w:top w:val="nil"/>
              <w:left w:val="nil"/>
              <w:bottom w:val="nil"/>
              <w:right w:val="nil"/>
            </w:tcBorders>
            <w:shd w:val="clear" w:color="auto" w:fill="auto"/>
            <w:vAlign w:val="bottom"/>
            <w:hideMark/>
          </w:tcPr>
          <w:p w:rsidR="00316AE0" w:rsidRPr="00385E91" w:rsidRDefault="00316AE0" w:rsidP="003F5DDF">
            <w:pPr>
              <w:jc w:val="left"/>
              <w:rPr>
                <w:sz w:val="20"/>
                <w:szCs w:val="20"/>
                <w:lang w:eastAsia="uk-UA"/>
              </w:rPr>
            </w:pPr>
          </w:p>
        </w:tc>
        <w:tc>
          <w:tcPr>
            <w:tcW w:w="236" w:type="dxa"/>
            <w:gridSpan w:val="4"/>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r>
      <w:tr w:rsidR="00316AE0" w:rsidRPr="00385E91" w:rsidTr="003F5DDF">
        <w:trPr>
          <w:gridAfter w:val="5"/>
          <w:wAfter w:w="624" w:type="dxa"/>
          <w:trHeight w:val="312"/>
        </w:trPr>
        <w:tc>
          <w:tcPr>
            <w:tcW w:w="568" w:type="dxa"/>
            <w:gridSpan w:val="3"/>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c>
          <w:tcPr>
            <w:tcW w:w="1276" w:type="dxa"/>
            <w:gridSpan w:val="5"/>
            <w:tcBorders>
              <w:top w:val="nil"/>
              <w:left w:val="nil"/>
              <w:bottom w:val="nil"/>
              <w:right w:val="nil"/>
            </w:tcBorders>
            <w:shd w:val="clear" w:color="auto" w:fill="auto"/>
            <w:noWrap/>
            <w:vAlign w:val="bottom"/>
          </w:tcPr>
          <w:p w:rsidR="00316AE0" w:rsidRPr="00385E91" w:rsidRDefault="00316AE0" w:rsidP="003F5DDF">
            <w:pPr>
              <w:rPr>
                <w:sz w:val="20"/>
                <w:szCs w:val="20"/>
              </w:rPr>
            </w:pPr>
          </w:p>
          <w:p w:rsidR="00316AE0" w:rsidRPr="00385E91" w:rsidRDefault="00316AE0" w:rsidP="003F5DDF">
            <w:pPr>
              <w:rPr>
                <w:sz w:val="20"/>
                <w:szCs w:val="20"/>
              </w:rPr>
            </w:pPr>
            <w:r w:rsidRPr="00385E91">
              <w:rPr>
                <w:sz w:val="20"/>
                <w:szCs w:val="20"/>
              </w:rPr>
              <w:t>__________</w:t>
            </w:r>
          </w:p>
          <w:p w:rsidR="00316AE0" w:rsidRPr="00385E91" w:rsidRDefault="00316AE0" w:rsidP="003F5DDF">
            <w:pPr>
              <w:rPr>
                <w:sz w:val="20"/>
                <w:szCs w:val="20"/>
              </w:rPr>
            </w:pPr>
            <w:r w:rsidRPr="00385E91">
              <w:rPr>
                <w:sz w:val="20"/>
                <w:szCs w:val="20"/>
              </w:rPr>
              <w:t xml:space="preserve">   (посада)</w:t>
            </w:r>
          </w:p>
        </w:tc>
        <w:tc>
          <w:tcPr>
            <w:tcW w:w="1485" w:type="dxa"/>
            <w:gridSpan w:val="5"/>
            <w:tcBorders>
              <w:top w:val="nil"/>
              <w:left w:val="nil"/>
              <w:bottom w:val="nil"/>
              <w:right w:val="nil"/>
            </w:tcBorders>
            <w:shd w:val="clear" w:color="auto" w:fill="auto"/>
            <w:noWrap/>
            <w:vAlign w:val="bottom"/>
          </w:tcPr>
          <w:p w:rsidR="00316AE0" w:rsidRPr="00385E91" w:rsidRDefault="00316AE0" w:rsidP="003F5DDF"/>
        </w:tc>
        <w:tc>
          <w:tcPr>
            <w:tcW w:w="989" w:type="dxa"/>
            <w:gridSpan w:val="4"/>
            <w:tcBorders>
              <w:top w:val="nil"/>
              <w:left w:val="nil"/>
              <w:bottom w:val="nil"/>
              <w:right w:val="nil"/>
            </w:tcBorders>
            <w:shd w:val="clear" w:color="auto" w:fill="auto"/>
            <w:noWrap/>
            <w:vAlign w:val="bottom"/>
          </w:tcPr>
          <w:p w:rsidR="00316AE0" w:rsidRPr="00385E91" w:rsidRDefault="00316AE0" w:rsidP="003F5DDF"/>
        </w:tc>
        <w:tc>
          <w:tcPr>
            <w:tcW w:w="1122" w:type="dxa"/>
            <w:gridSpan w:val="5"/>
            <w:tcBorders>
              <w:top w:val="nil"/>
              <w:left w:val="nil"/>
              <w:bottom w:val="nil"/>
              <w:right w:val="nil"/>
            </w:tcBorders>
            <w:shd w:val="clear" w:color="auto" w:fill="auto"/>
            <w:noWrap/>
            <w:vAlign w:val="bottom"/>
          </w:tcPr>
          <w:p w:rsidR="00316AE0" w:rsidRPr="00385E91" w:rsidRDefault="00316AE0" w:rsidP="003F5DDF"/>
        </w:tc>
        <w:tc>
          <w:tcPr>
            <w:tcW w:w="3264" w:type="dxa"/>
            <w:gridSpan w:val="16"/>
            <w:tcBorders>
              <w:top w:val="nil"/>
              <w:left w:val="nil"/>
              <w:bottom w:val="nil"/>
              <w:right w:val="nil"/>
            </w:tcBorders>
            <w:shd w:val="clear" w:color="auto" w:fill="auto"/>
            <w:vAlign w:val="bottom"/>
          </w:tcPr>
          <w:p w:rsidR="00316AE0" w:rsidRPr="00385E91" w:rsidRDefault="00316AE0" w:rsidP="003F5DDF">
            <w:pPr>
              <w:rPr>
                <w:sz w:val="20"/>
                <w:szCs w:val="20"/>
              </w:rPr>
            </w:pPr>
          </w:p>
          <w:p w:rsidR="00316AE0" w:rsidRPr="00385E91" w:rsidRDefault="00316AE0" w:rsidP="003F5DDF">
            <w:pPr>
              <w:rPr>
                <w:sz w:val="20"/>
                <w:szCs w:val="20"/>
              </w:rPr>
            </w:pPr>
          </w:p>
          <w:p w:rsidR="00316AE0" w:rsidRPr="00385E91" w:rsidRDefault="00316AE0" w:rsidP="003F5DDF">
            <w:pPr>
              <w:rPr>
                <w:sz w:val="20"/>
                <w:szCs w:val="20"/>
              </w:rPr>
            </w:pPr>
          </w:p>
          <w:p w:rsidR="00316AE0" w:rsidRPr="00385E91" w:rsidRDefault="00316AE0" w:rsidP="003F5DDF">
            <w:pPr>
              <w:rPr>
                <w:sz w:val="20"/>
                <w:szCs w:val="20"/>
              </w:rPr>
            </w:pPr>
            <w:r w:rsidRPr="00385E91">
              <w:rPr>
                <w:sz w:val="20"/>
                <w:szCs w:val="20"/>
              </w:rPr>
              <w:t>______________________________</w:t>
            </w:r>
          </w:p>
          <w:p w:rsidR="00316AE0" w:rsidRPr="00385E91" w:rsidRDefault="00316AE0" w:rsidP="003F5DDF">
            <w:pPr>
              <w:rPr>
                <w:sz w:val="20"/>
                <w:szCs w:val="20"/>
              </w:rPr>
            </w:pPr>
            <w:r w:rsidRPr="00385E91">
              <w:rPr>
                <w:sz w:val="20"/>
                <w:szCs w:val="20"/>
              </w:rPr>
              <w:t>(прізвище, власне ім’я, по батькові)</w:t>
            </w:r>
          </w:p>
        </w:tc>
        <w:tc>
          <w:tcPr>
            <w:tcW w:w="1416" w:type="dxa"/>
            <w:gridSpan w:val="5"/>
            <w:tcBorders>
              <w:top w:val="nil"/>
              <w:left w:val="nil"/>
              <w:bottom w:val="nil"/>
              <w:right w:val="nil"/>
            </w:tcBorders>
            <w:shd w:val="clear" w:color="auto" w:fill="auto"/>
            <w:vAlign w:val="bottom"/>
          </w:tcPr>
          <w:p w:rsidR="00316AE0" w:rsidRPr="00385E91" w:rsidRDefault="00316AE0" w:rsidP="003F5DDF"/>
        </w:tc>
        <w:tc>
          <w:tcPr>
            <w:tcW w:w="2098" w:type="dxa"/>
            <w:gridSpan w:val="7"/>
            <w:tcBorders>
              <w:top w:val="nil"/>
              <w:left w:val="nil"/>
              <w:bottom w:val="nil"/>
              <w:right w:val="nil"/>
            </w:tcBorders>
            <w:shd w:val="clear" w:color="auto" w:fill="auto"/>
            <w:vAlign w:val="bottom"/>
          </w:tcPr>
          <w:p w:rsidR="00316AE0" w:rsidRPr="00385E91" w:rsidRDefault="00316AE0" w:rsidP="003F5DDF">
            <w:r w:rsidRPr="00385E91">
              <w:t xml:space="preserve">                            </w:t>
            </w:r>
          </w:p>
        </w:tc>
        <w:tc>
          <w:tcPr>
            <w:tcW w:w="327" w:type="dxa"/>
            <w:gridSpan w:val="5"/>
            <w:tcBorders>
              <w:top w:val="nil"/>
              <w:left w:val="nil"/>
              <w:bottom w:val="nil"/>
              <w:right w:val="nil"/>
            </w:tcBorders>
            <w:shd w:val="clear" w:color="auto" w:fill="auto"/>
            <w:vAlign w:val="bottom"/>
          </w:tcPr>
          <w:p w:rsidR="00316AE0" w:rsidRPr="00385E91" w:rsidRDefault="00316AE0" w:rsidP="003F5DDF"/>
        </w:tc>
        <w:tc>
          <w:tcPr>
            <w:tcW w:w="804" w:type="dxa"/>
            <w:gridSpan w:val="4"/>
            <w:tcBorders>
              <w:top w:val="nil"/>
              <w:left w:val="nil"/>
              <w:bottom w:val="nil"/>
              <w:right w:val="nil"/>
            </w:tcBorders>
            <w:shd w:val="clear" w:color="auto" w:fill="auto"/>
            <w:vAlign w:val="bottom"/>
          </w:tcPr>
          <w:p w:rsidR="00316AE0" w:rsidRPr="00385E91" w:rsidRDefault="00316AE0" w:rsidP="003F5DDF">
            <w:pPr>
              <w:rPr>
                <w:sz w:val="20"/>
                <w:szCs w:val="20"/>
              </w:rPr>
            </w:pPr>
          </w:p>
        </w:tc>
        <w:tc>
          <w:tcPr>
            <w:tcW w:w="1084" w:type="dxa"/>
            <w:gridSpan w:val="5"/>
            <w:tcBorders>
              <w:top w:val="nil"/>
              <w:left w:val="nil"/>
              <w:bottom w:val="nil"/>
              <w:right w:val="nil"/>
            </w:tcBorders>
            <w:shd w:val="clear" w:color="auto" w:fill="auto"/>
            <w:vAlign w:val="bottom"/>
          </w:tcPr>
          <w:p w:rsidR="00316AE0" w:rsidRPr="00385E91" w:rsidRDefault="00316AE0" w:rsidP="003F5DDF">
            <w:pPr>
              <w:rPr>
                <w:sz w:val="20"/>
                <w:szCs w:val="20"/>
              </w:rPr>
            </w:pPr>
          </w:p>
          <w:p w:rsidR="00316AE0" w:rsidRPr="00385E91" w:rsidRDefault="00316AE0" w:rsidP="003F5DDF">
            <w:pPr>
              <w:rPr>
                <w:sz w:val="20"/>
                <w:szCs w:val="20"/>
              </w:rPr>
            </w:pPr>
            <w:r w:rsidRPr="00385E91">
              <w:rPr>
                <w:sz w:val="20"/>
                <w:szCs w:val="20"/>
              </w:rPr>
              <w:t>________</w:t>
            </w:r>
          </w:p>
          <w:p w:rsidR="00316AE0" w:rsidRPr="00385E91" w:rsidRDefault="00316AE0" w:rsidP="003F5DDF">
            <w:pPr>
              <w:rPr>
                <w:sz w:val="20"/>
                <w:szCs w:val="20"/>
              </w:rPr>
            </w:pPr>
            <w:r w:rsidRPr="00385E91">
              <w:rPr>
                <w:sz w:val="20"/>
                <w:szCs w:val="20"/>
              </w:rPr>
              <w:t xml:space="preserve">    (дата)</w:t>
            </w:r>
          </w:p>
        </w:tc>
        <w:tc>
          <w:tcPr>
            <w:tcW w:w="238" w:type="dxa"/>
            <w:gridSpan w:val="2"/>
            <w:tcBorders>
              <w:top w:val="nil"/>
              <w:left w:val="nil"/>
              <w:bottom w:val="nil"/>
              <w:right w:val="nil"/>
            </w:tcBorders>
          </w:tcPr>
          <w:p w:rsidR="00316AE0" w:rsidRPr="00385E91" w:rsidRDefault="00316AE0" w:rsidP="003F5DDF">
            <w:pPr>
              <w:rPr>
                <w:sz w:val="20"/>
                <w:szCs w:val="20"/>
              </w:rPr>
            </w:pPr>
          </w:p>
        </w:tc>
        <w:tc>
          <w:tcPr>
            <w:tcW w:w="382" w:type="dxa"/>
            <w:gridSpan w:val="4"/>
            <w:tcBorders>
              <w:top w:val="nil"/>
              <w:left w:val="nil"/>
              <w:bottom w:val="nil"/>
              <w:right w:val="nil"/>
            </w:tcBorders>
            <w:shd w:val="clear" w:color="auto" w:fill="auto"/>
            <w:vAlign w:val="bottom"/>
          </w:tcPr>
          <w:p w:rsidR="00316AE0" w:rsidRPr="00385E91" w:rsidRDefault="00316AE0" w:rsidP="003F5DDF"/>
        </w:tc>
        <w:tc>
          <w:tcPr>
            <w:tcW w:w="236" w:type="dxa"/>
            <w:gridSpan w:val="2"/>
            <w:tcBorders>
              <w:top w:val="nil"/>
              <w:left w:val="nil"/>
              <w:bottom w:val="nil"/>
              <w:right w:val="nil"/>
            </w:tcBorders>
            <w:shd w:val="clear" w:color="auto" w:fill="auto"/>
            <w:vAlign w:val="bottom"/>
          </w:tcPr>
          <w:p w:rsidR="00316AE0" w:rsidRPr="00385E91" w:rsidRDefault="00316AE0" w:rsidP="003F5DDF"/>
        </w:tc>
        <w:tc>
          <w:tcPr>
            <w:tcW w:w="553" w:type="dxa"/>
            <w:gridSpan w:val="4"/>
            <w:tcBorders>
              <w:top w:val="nil"/>
              <w:left w:val="nil"/>
              <w:bottom w:val="nil"/>
              <w:right w:val="nil"/>
            </w:tcBorders>
            <w:shd w:val="clear" w:color="auto" w:fill="auto"/>
            <w:vAlign w:val="bottom"/>
          </w:tcPr>
          <w:p w:rsidR="00316AE0" w:rsidRPr="00385E91" w:rsidRDefault="00316AE0" w:rsidP="003F5DDF"/>
        </w:tc>
        <w:tc>
          <w:tcPr>
            <w:tcW w:w="236" w:type="dxa"/>
            <w:gridSpan w:val="3"/>
            <w:tcBorders>
              <w:top w:val="nil"/>
              <w:left w:val="nil"/>
              <w:bottom w:val="nil"/>
              <w:right w:val="nil"/>
            </w:tcBorders>
            <w:shd w:val="clear" w:color="auto" w:fill="auto"/>
            <w:vAlign w:val="bottom"/>
          </w:tcPr>
          <w:p w:rsidR="00316AE0" w:rsidRPr="00385E91" w:rsidRDefault="00316AE0" w:rsidP="003F5DDF"/>
        </w:tc>
        <w:tc>
          <w:tcPr>
            <w:tcW w:w="236" w:type="dxa"/>
            <w:gridSpan w:val="4"/>
            <w:tcBorders>
              <w:top w:val="nil"/>
              <w:left w:val="nil"/>
              <w:bottom w:val="nil"/>
              <w:right w:val="nil"/>
            </w:tcBorders>
            <w:shd w:val="clear" w:color="auto" w:fill="auto"/>
            <w:noWrap/>
            <w:vAlign w:val="bottom"/>
            <w:hideMark/>
          </w:tcPr>
          <w:p w:rsidR="00316AE0" w:rsidRPr="00385E91" w:rsidRDefault="00316AE0" w:rsidP="003F5DDF">
            <w:pPr>
              <w:jc w:val="left"/>
              <w:rPr>
                <w:sz w:val="20"/>
                <w:szCs w:val="20"/>
                <w:lang w:eastAsia="uk-UA"/>
              </w:rPr>
            </w:pPr>
          </w:p>
        </w:tc>
      </w:tr>
    </w:tbl>
    <w:p w:rsidR="009F7889" w:rsidRPr="00385E91" w:rsidRDefault="00443E0F" w:rsidP="00443E0F">
      <w:pPr>
        <w:keepNext/>
        <w:keepLines/>
        <w:ind w:left="8496" w:firstLine="708"/>
        <w:jc w:val="left"/>
        <w:rPr>
          <w:noProof/>
          <w:sz w:val="20"/>
          <w:szCs w:val="20"/>
        </w:rPr>
      </w:pPr>
      <w:r w:rsidRPr="00385E91">
        <w:rPr>
          <w:noProof/>
          <w:sz w:val="20"/>
          <w:szCs w:val="20"/>
        </w:rPr>
        <w:lastRenderedPageBreak/>
        <w:t>Додаток 2</w:t>
      </w:r>
    </w:p>
    <w:p w:rsidR="00443E0F" w:rsidRPr="00385E91" w:rsidRDefault="00443E0F" w:rsidP="00443E0F">
      <w:pPr>
        <w:keepNext/>
        <w:keepLines/>
        <w:ind w:left="8496" w:firstLine="708"/>
        <w:jc w:val="left"/>
        <w:rPr>
          <w:noProof/>
          <w:sz w:val="20"/>
          <w:szCs w:val="20"/>
        </w:rPr>
      </w:pPr>
      <w:r w:rsidRPr="00385E91">
        <w:rPr>
          <w:noProof/>
          <w:sz w:val="20"/>
          <w:szCs w:val="20"/>
        </w:rPr>
        <w:t xml:space="preserve">до Порядку розподілу коштів бюджету </w:t>
      </w:r>
    </w:p>
    <w:p w:rsidR="00443E0F" w:rsidRPr="00385E91" w:rsidRDefault="00561DCA" w:rsidP="00443E0F">
      <w:pPr>
        <w:keepNext/>
        <w:keepLines/>
        <w:ind w:left="8496" w:firstLine="708"/>
        <w:jc w:val="left"/>
        <w:rPr>
          <w:noProof/>
          <w:sz w:val="20"/>
          <w:szCs w:val="20"/>
        </w:rPr>
      </w:pPr>
      <w:r w:rsidRPr="00385E91">
        <w:rPr>
          <w:noProof/>
          <w:sz w:val="20"/>
          <w:szCs w:val="20"/>
        </w:rPr>
        <w:t xml:space="preserve">Сумської </w:t>
      </w:r>
      <w:r w:rsidR="00443E0F" w:rsidRPr="00385E91">
        <w:rPr>
          <w:noProof/>
          <w:sz w:val="20"/>
          <w:szCs w:val="20"/>
        </w:rPr>
        <w:t xml:space="preserve">міської територіальної громади </w:t>
      </w:r>
    </w:p>
    <w:p w:rsidR="00443E0F" w:rsidRPr="00385E91" w:rsidRDefault="00443E0F" w:rsidP="00443E0F">
      <w:pPr>
        <w:keepNext/>
        <w:keepLines/>
        <w:ind w:left="8496" w:firstLine="708"/>
        <w:jc w:val="left"/>
        <w:rPr>
          <w:noProof/>
          <w:sz w:val="20"/>
          <w:szCs w:val="20"/>
        </w:rPr>
      </w:pPr>
      <w:r w:rsidRPr="00385E91">
        <w:rPr>
          <w:noProof/>
          <w:sz w:val="20"/>
          <w:szCs w:val="20"/>
        </w:rPr>
        <w:t xml:space="preserve">на підготовку та реалізацію публічних інвестиційних </w:t>
      </w:r>
    </w:p>
    <w:p w:rsidR="00443E0F" w:rsidRPr="00385E91" w:rsidRDefault="00443E0F" w:rsidP="00443E0F">
      <w:pPr>
        <w:keepNext/>
        <w:keepLines/>
        <w:ind w:left="8496" w:firstLine="708"/>
        <w:jc w:val="left"/>
        <w:rPr>
          <w:noProof/>
          <w:sz w:val="20"/>
          <w:szCs w:val="20"/>
        </w:rPr>
      </w:pPr>
      <w:r w:rsidRPr="00385E91">
        <w:rPr>
          <w:noProof/>
          <w:sz w:val="20"/>
          <w:szCs w:val="20"/>
        </w:rPr>
        <w:t>проєктів та програм публічних інвестицій</w:t>
      </w:r>
    </w:p>
    <w:p w:rsidR="00D26BA3" w:rsidRPr="00385E91" w:rsidRDefault="00D26BA3" w:rsidP="00443E0F">
      <w:pPr>
        <w:keepNext/>
        <w:keepLines/>
        <w:ind w:left="8496" w:firstLine="708"/>
        <w:jc w:val="left"/>
        <w:rPr>
          <w:noProof/>
          <w:sz w:val="20"/>
          <w:szCs w:val="20"/>
        </w:rPr>
      </w:pPr>
      <w:r w:rsidRPr="00385E91">
        <w:rPr>
          <w:noProof/>
          <w:sz w:val="20"/>
          <w:szCs w:val="20"/>
        </w:rPr>
        <w:t>(пункт 2 розділу ІІІ)</w:t>
      </w:r>
    </w:p>
    <w:p w:rsidR="00443E0F" w:rsidRPr="00385E91" w:rsidRDefault="00443E0F" w:rsidP="00443E0F">
      <w:pPr>
        <w:jc w:val="left"/>
        <w:rPr>
          <w:rFonts w:eastAsia="Calibri"/>
          <w:sz w:val="24"/>
          <w:szCs w:val="24"/>
        </w:rPr>
      </w:pPr>
    </w:p>
    <w:p w:rsidR="00443E0F" w:rsidRPr="00385E91" w:rsidRDefault="00443E0F" w:rsidP="00443E0F">
      <w:pPr>
        <w:jc w:val="center"/>
        <w:rPr>
          <w:rFonts w:eastAsia="Calibri"/>
          <w:sz w:val="24"/>
          <w:szCs w:val="24"/>
        </w:rPr>
      </w:pPr>
      <w:r w:rsidRPr="00385E91">
        <w:rPr>
          <w:rFonts w:eastAsia="Calibri"/>
          <w:sz w:val="24"/>
          <w:szCs w:val="24"/>
        </w:rPr>
        <w:t xml:space="preserve">Консолідований перелік публічних інвестиційних </w:t>
      </w:r>
      <w:proofErr w:type="spellStart"/>
      <w:r w:rsidRPr="00385E91">
        <w:rPr>
          <w:rFonts w:eastAsia="Calibri"/>
          <w:sz w:val="24"/>
          <w:szCs w:val="24"/>
        </w:rPr>
        <w:t>проєктів</w:t>
      </w:r>
      <w:proofErr w:type="spellEnd"/>
      <w:r w:rsidRPr="00385E91">
        <w:rPr>
          <w:rFonts w:eastAsia="Calibri"/>
          <w:sz w:val="24"/>
          <w:szCs w:val="24"/>
        </w:rPr>
        <w:t xml:space="preserve"> та програм публічних інвестицій </w:t>
      </w:r>
    </w:p>
    <w:p w:rsidR="00443E0F" w:rsidRPr="00385E91" w:rsidRDefault="00494A2F" w:rsidP="00443E0F">
      <w:pPr>
        <w:jc w:val="center"/>
        <w:rPr>
          <w:rFonts w:eastAsia="Calibri"/>
          <w:sz w:val="24"/>
          <w:szCs w:val="24"/>
        </w:rPr>
      </w:pPr>
      <w:r w:rsidRPr="00385E91">
        <w:rPr>
          <w:rFonts w:eastAsia="Calibri"/>
          <w:sz w:val="24"/>
          <w:szCs w:val="24"/>
        </w:rPr>
        <w:t>Є</w:t>
      </w:r>
      <w:r w:rsidR="00443E0F" w:rsidRPr="00385E91">
        <w:rPr>
          <w:rFonts w:eastAsia="Calibri"/>
          <w:sz w:val="24"/>
          <w:szCs w:val="24"/>
        </w:rPr>
        <w:t xml:space="preserve">диного </w:t>
      </w:r>
      <w:proofErr w:type="spellStart"/>
      <w:r w:rsidR="00443E0F" w:rsidRPr="00385E91">
        <w:rPr>
          <w:rFonts w:eastAsia="Calibri"/>
          <w:sz w:val="24"/>
          <w:szCs w:val="24"/>
        </w:rPr>
        <w:t>проєктного</w:t>
      </w:r>
      <w:proofErr w:type="spellEnd"/>
      <w:r w:rsidR="00443E0F" w:rsidRPr="00385E91">
        <w:rPr>
          <w:rFonts w:eastAsia="Calibri"/>
          <w:sz w:val="24"/>
          <w:szCs w:val="24"/>
        </w:rPr>
        <w:t xml:space="preserve"> портфеля публічних інвестицій </w:t>
      </w:r>
      <w:r w:rsidR="00CC524C" w:rsidRPr="00385E91">
        <w:rPr>
          <w:rFonts w:eastAsia="Calibri"/>
          <w:sz w:val="24"/>
          <w:szCs w:val="24"/>
        </w:rPr>
        <w:t>Сумської м</w:t>
      </w:r>
      <w:r w:rsidR="00443E0F" w:rsidRPr="00385E91">
        <w:rPr>
          <w:rFonts w:eastAsia="Calibri"/>
          <w:sz w:val="24"/>
          <w:szCs w:val="24"/>
        </w:rPr>
        <w:t>іської територіальної громади і розподіл публічних інвестицій на їх підготовку та реалізацію за роками</w:t>
      </w:r>
      <w:r w:rsidRPr="00385E91">
        <w:rPr>
          <w:rFonts w:eastAsia="Calibri"/>
          <w:sz w:val="24"/>
          <w:szCs w:val="24"/>
        </w:rPr>
        <w:t xml:space="preserve"> </w:t>
      </w:r>
      <w:r w:rsidR="00443E0F" w:rsidRPr="00385E91">
        <w:rPr>
          <w:rFonts w:eastAsia="Calibri"/>
          <w:sz w:val="24"/>
          <w:szCs w:val="24"/>
        </w:rPr>
        <w:t>у розрізі джерел і механізмів фінансового забезпечення</w:t>
      </w:r>
    </w:p>
    <w:p w:rsidR="00443E0F" w:rsidRPr="00385E91" w:rsidRDefault="00443E0F" w:rsidP="00443E0F">
      <w:pPr>
        <w:jc w:val="center"/>
        <w:rPr>
          <w:rFonts w:eastAsia="Calibri"/>
          <w:sz w:val="24"/>
          <w:szCs w:val="24"/>
        </w:rPr>
      </w:pPr>
    </w:p>
    <w:tbl>
      <w:tblPr>
        <w:tblStyle w:val="af3"/>
        <w:tblW w:w="15601" w:type="dxa"/>
        <w:tblInd w:w="-289" w:type="dxa"/>
        <w:tblLayout w:type="fixed"/>
        <w:tblLook w:val="04A0" w:firstRow="1" w:lastRow="0" w:firstColumn="1" w:lastColumn="0" w:noHBand="0" w:noVBand="1"/>
      </w:tblPr>
      <w:tblGrid>
        <w:gridCol w:w="959"/>
        <w:gridCol w:w="1735"/>
        <w:gridCol w:w="1897"/>
        <w:gridCol w:w="1187"/>
        <w:gridCol w:w="2215"/>
        <w:gridCol w:w="1134"/>
        <w:gridCol w:w="1134"/>
        <w:gridCol w:w="1134"/>
        <w:gridCol w:w="851"/>
        <w:gridCol w:w="1754"/>
        <w:gridCol w:w="1601"/>
      </w:tblGrid>
      <w:tr w:rsidR="00443E0F" w:rsidRPr="00385E91" w:rsidTr="00494A2F">
        <w:trPr>
          <w:trHeight w:val="569"/>
        </w:trPr>
        <w:tc>
          <w:tcPr>
            <w:tcW w:w="959" w:type="dxa"/>
            <w:vMerge w:val="restart"/>
          </w:tcPr>
          <w:p w:rsidR="00443E0F" w:rsidRPr="00385E91" w:rsidRDefault="00443E0F" w:rsidP="00443E0F">
            <w:pPr>
              <w:jc w:val="center"/>
              <w:rPr>
                <w:rFonts w:eastAsia="Calibri"/>
                <w:sz w:val="24"/>
                <w:szCs w:val="24"/>
              </w:rPr>
            </w:pPr>
            <w:r w:rsidRPr="00385E91">
              <w:rPr>
                <w:rFonts w:eastAsia="Calibri"/>
                <w:sz w:val="24"/>
                <w:szCs w:val="24"/>
              </w:rPr>
              <w:t>№ п/п</w:t>
            </w:r>
          </w:p>
        </w:tc>
        <w:tc>
          <w:tcPr>
            <w:tcW w:w="1735" w:type="dxa"/>
            <w:vMerge w:val="restart"/>
          </w:tcPr>
          <w:p w:rsidR="00443E0F" w:rsidRPr="00385E91" w:rsidRDefault="00494A2F" w:rsidP="00443E0F">
            <w:pPr>
              <w:jc w:val="center"/>
              <w:rPr>
                <w:rFonts w:eastAsia="Calibri"/>
                <w:sz w:val="22"/>
                <w:szCs w:val="22"/>
              </w:rPr>
            </w:pPr>
            <w:r w:rsidRPr="00385E91">
              <w:rPr>
                <w:rFonts w:eastAsia="Calibri"/>
                <w:sz w:val="22"/>
                <w:szCs w:val="22"/>
              </w:rPr>
              <w:t>Унікальний ідентифікатор публіч</w:t>
            </w:r>
            <w:r w:rsidR="00443E0F" w:rsidRPr="00385E91">
              <w:rPr>
                <w:rFonts w:eastAsia="Calibri"/>
                <w:sz w:val="22"/>
                <w:szCs w:val="22"/>
              </w:rPr>
              <w:t xml:space="preserve">ного інвестицій ного </w:t>
            </w:r>
            <w:proofErr w:type="spellStart"/>
            <w:r w:rsidR="00443E0F" w:rsidRPr="00385E91">
              <w:rPr>
                <w:rFonts w:eastAsia="Calibri"/>
                <w:sz w:val="22"/>
                <w:szCs w:val="22"/>
              </w:rPr>
              <w:t>проєкту</w:t>
            </w:r>
            <w:proofErr w:type="spellEnd"/>
            <w:r w:rsidR="00443E0F" w:rsidRPr="00385E91">
              <w:rPr>
                <w:rFonts w:eastAsia="Calibri"/>
                <w:sz w:val="22"/>
                <w:szCs w:val="22"/>
              </w:rPr>
              <w:t>/програми публічних інвестицій</w:t>
            </w:r>
          </w:p>
        </w:tc>
        <w:tc>
          <w:tcPr>
            <w:tcW w:w="1897" w:type="dxa"/>
            <w:vMerge w:val="restart"/>
          </w:tcPr>
          <w:p w:rsidR="00443E0F" w:rsidRPr="00385E91" w:rsidRDefault="00443E0F" w:rsidP="00443E0F">
            <w:pPr>
              <w:jc w:val="center"/>
              <w:rPr>
                <w:rFonts w:eastAsia="Calibri"/>
                <w:sz w:val="22"/>
                <w:szCs w:val="22"/>
              </w:rPr>
            </w:pPr>
            <w:r w:rsidRPr="00385E91">
              <w:rPr>
                <w:rFonts w:eastAsia="Calibri"/>
                <w:sz w:val="22"/>
                <w:szCs w:val="22"/>
              </w:rPr>
              <w:t xml:space="preserve">Назва публічного інвестиційного </w:t>
            </w:r>
            <w:proofErr w:type="spellStart"/>
            <w:r w:rsidRPr="00385E91">
              <w:rPr>
                <w:rFonts w:eastAsia="Calibri"/>
                <w:sz w:val="22"/>
                <w:szCs w:val="22"/>
              </w:rPr>
              <w:t>проєкту</w:t>
            </w:r>
            <w:proofErr w:type="spellEnd"/>
            <w:r w:rsidRPr="00385E91">
              <w:rPr>
                <w:rFonts w:eastAsia="Calibri"/>
                <w:sz w:val="22"/>
                <w:szCs w:val="22"/>
              </w:rPr>
              <w:t>/програми публічних інвестицій</w:t>
            </w:r>
          </w:p>
        </w:tc>
        <w:tc>
          <w:tcPr>
            <w:tcW w:w="1187" w:type="dxa"/>
            <w:vMerge w:val="restart"/>
          </w:tcPr>
          <w:p w:rsidR="00443E0F" w:rsidRPr="00385E91" w:rsidRDefault="00443E0F" w:rsidP="00443E0F">
            <w:pPr>
              <w:jc w:val="center"/>
              <w:rPr>
                <w:rFonts w:eastAsia="Calibri"/>
                <w:sz w:val="22"/>
                <w:szCs w:val="22"/>
              </w:rPr>
            </w:pPr>
            <w:r w:rsidRPr="00385E91">
              <w:rPr>
                <w:rFonts w:eastAsia="Calibri"/>
                <w:sz w:val="22"/>
                <w:szCs w:val="22"/>
              </w:rPr>
              <w:t>Сектор/ галузь</w:t>
            </w:r>
          </w:p>
        </w:tc>
        <w:tc>
          <w:tcPr>
            <w:tcW w:w="2215" w:type="dxa"/>
            <w:vMerge w:val="restart"/>
          </w:tcPr>
          <w:p w:rsidR="00443E0F" w:rsidRPr="00385E91" w:rsidRDefault="00494A2F" w:rsidP="00443E0F">
            <w:pPr>
              <w:jc w:val="center"/>
              <w:rPr>
                <w:rFonts w:eastAsia="Calibri"/>
                <w:sz w:val="22"/>
                <w:szCs w:val="22"/>
              </w:rPr>
            </w:pPr>
            <w:r w:rsidRPr="00385E91">
              <w:rPr>
                <w:rFonts w:eastAsia="Calibri"/>
                <w:sz w:val="22"/>
                <w:szCs w:val="22"/>
              </w:rPr>
              <w:t xml:space="preserve">Бал за </w:t>
            </w:r>
            <w:proofErr w:type="spellStart"/>
            <w:r w:rsidRPr="00385E91">
              <w:rPr>
                <w:rFonts w:eastAsia="Calibri"/>
                <w:sz w:val="22"/>
                <w:szCs w:val="22"/>
              </w:rPr>
              <w:t>пріорите</w:t>
            </w:r>
            <w:r w:rsidR="00443E0F" w:rsidRPr="00385E91">
              <w:rPr>
                <w:rFonts w:eastAsia="Calibri"/>
                <w:sz w:val="22"/>
                <w:szCs w:val="22"/>
              </w:rPr>
              <w:t>зацією</w:t>
            </w:r>
            <w:proofErr w:type="spellEnd"/>
            <w:r w:rsidR="00443E0F" w:rsidRPr="00385E91">
              <w:rPr>
                <w:rFonts w:eastAsia="Calibri"/>
                <w:sz w:val="22"/>
                <w:szCs w:val="22"/>
              </w:rPr>
              <w:t xml:space="preserve"> в єдиному </w:t>
            </w:r>
            <w:proofErr w:type="spellStart"/>
            <w:r w:rsidR="00443E0F" w:rsidRPr="00385E91">
              <w:rPr>
                <w:rFonts w:eastAsia="Calibri"/>
                <w:sz w:val="22"/>
                <w:szCs w:val="22"/>
              </w:rPr>
              <w:t>проєктному</w:t>
            </w:r>
            <w:proofErr w:type="spellEnd"/>
            <w:r w:rsidR="00443E0F" w:rsidRPr="00385E91">
              <w:rPr>
                <w:rFonts w:eastAsia="Calibri"/>
                <w:sz w:val="22"/>
                <w:szCs w:val="22"/>
              </w:rPr>
              <w:t xml:space="preserve"> портфелі публічних інвестицій територіальної громади</w:t>
            </w:r>
          </w:p>
          <w:p w:rsidR="00443E0F" w:rsidRPr="00385E91" w:rsidRDefault="00443E0F" w:rsidP="00443E0F">
            <w:pPr>
              <w:jc w:val="center"/>
              <w:rPr>
                <w:rFonts w:eastAsia="Calibri"/>
                <w:sz w:val="22"/>
                <w:szCs w:val="22"/>
              </w:rPr>
            </w:pPr>
            <w:r w:rsidRPr="00385E91">
              <w:rPr>
                <w:rFonts w:eastAsia="Calibri"/>
                <w:sz w:val="22"/>
                <w:szCs w:val="22"/>
              </w:rPr>
              <w:t xml:space="preserve">(для нових </w:t>
            </w:r>
            <w:proofErr w:type="spellStart"/>
            <w:r w:rsidRPr="00385E91">
              <w:rPr>
                <w:rFonts w:eastAsia="Calibri"/>
                <w:sz w:val="22"/>
                <w:szCs w:val="22"/>
              </w:rPr>
              <w:t>проєктів</w:t>
            </w:r>
            <w:proofErr w:type="spellEnd"/>
            <w:r w:rsidRPr="00385E91">
              <w:rPr>
                <w:rFonts w:eastAsia="Calibri"/>
                <w:sz w:val="22"/>
                <w:szCs w:val="22"/>
              </w:rPr>
              <w:t>/програм)</w:t>
            </w:r>
          </w:p>
        </w:tc>
        <w:tc>
          <w:tcPr>
            <w:tcW w:w="4253" w:type="dxa"/>
            <w:gridSpan w:val="4"/>
          </w:tcPr>
          <w:p w:rsidR="00443E0F" w:rsidRPr="00385E91" w:rsidRDefault="00443E0F" w:rsidP="00443E0F">
            <w:pPr>
              <w:jc w:val="center"/>
              <w:rPr>
                <w:rFonts w:eastAsia="Calibri"/>
                <w:sz w:val="22"/>
                <w:szCs w:val="22"/>
              </w:rPr>
            </w:pPr>
            <w:r w:rsidRPr="00385E91">
              <w:rPr>
                <w:rFonts w:eastAsia="Calibri"/>
                <w:sz w:val="22"/>
                <w:szCs w:val="22"/>
              </w:rPr>
              <w:t xml:space="preserve">Розподіл публічних інвестицій на підготовку та реалізацію публічних інвестиційних </w:t>
            </w:r>
            <w:proofErr w:type="spellStart"/>
            <w:r w:rsidRPr="00385E91">
              <w:rPr>
                <w:rFonts w:eastAsia="Calibri"/>
                <w:sz w:val="22"/>
                <w:szCs w:val="22"/>
              </w:rPr>
              <w:t>проєктів</w:t>
            </w:r>
            <w:proofErr w:type="spellEnd"/>
            <w:r w:rsidRPr="00385E91">
              <w:rPr>
                <w:rFonts w:eastAsia="Calibri"/>
                <w:sz w:val="22"/>
                <w:szCs w:val="22"/>
              </w:rPr>
              <w:t xml:space="preserve"> та програм публічних інвестицій</w:t>
            </w:r>
          </w:p>
        </w:tc>
        <w:tc>
          <w:tcPr>
            <w:tcW w:w="1754" w:type="dxa"/>
            <w:vMerge w:val="restart"/>
          </w:tcPr>
          <w:p w:rsidR="00443E0F" w:rsidRPr="00385E91" w:rsidRDefault="00443E0F" w:rsidP="00443E0F">
            <w:pPr>
              <w:jc w:val="center"/>
              <w:rPr>
                <w:rFonts w:eastAsia="Calibri"/>
                <w:sz w:val="22"/>
                <w:szCs w:val="22"/>
              </w:rPr>
            </w:pPr>
            <w:r w:rsidRPr="00385E91">
              <w:rPr>
                <w:rFonts w:eastAsia="Calibri"/>
                <w:sz w:val="22"/>
                <w:szCs w:val="22"/>
              </w:rPr>
              <w:t>Джерела</w:t>
            </w:r>
          </w:p>
          <w:p w:rsidR="00443E0F" w:rsidRPr="00385E91" w:rsidRDefault="00443E0F" w:rsidP="00443E0F">
            <w:pPr>
              <w:jc w:val="center"/>
              <w:rPr>
                <w:rFonts w:eastAsia="Calibri"/>
                <w:sz w:val="22"/>
                <w:szCs w:val="22"/>
              </w:rPr>
            </w:pPr>
            <w:r w:rsidRPr="00385E91">
              <w:rPr>
                <w:rFonts w:eastAsia="Calibri"/>
                <w:sz w:val="22"/>
                <w:szCs w:val="22"/>
              </w:rPr>
              <w:t>і механізми фінансового забезпечення</w:t>
            </w:r>
          </w:p>
        </w:tc>
        <w:tc>
          <w:tcPr>
            <w:tcW w:w="1601" w:type="dxa"/>
            <w:vMerge w:val="restart"/>
          </w:tcPr>
          <w:p w:rsidR="00443E0F" w:rsidRPr="00385E91" w:rsidRDefault="00443E0F" w:rsidP="00443E0F">
            <w:pPr>
              <w:jc w:val="center"/>
              <w:rPr>
                <w:rFonts w:eastAsia="Calibri"/>
                <w:sz w:val="22"/>
                <w:szCs w:val="22"/>
              </w:rPr>
            </w:pPr>
            <w:r w:rsidRPr="00385E91">
              <w:rPr>
                <w:rFonts w:eastAsia="Calibri"/>
                <w:sz w:val="22"/>
                <w:szCs w:val="22"/>
              </w:rPr>
              <w:t>Головний розпорядник коштів</w:t>
            </w:r>
          </w:p>
        </w:tc>
      </w:tr>
      <w:tr w:rsidR="00443E0F" w:rsidRPr="00385E91" w:rsidTr="00494A2F">
        <w:trPr>
          <w:trHeight w:val="3282"/>
        </w:trPr>
        <w:tc>
          <w:tcPr>
            <w:tcW w:w="959" w:type="dxa"/>
            <w:vMerge/>
          </w:tcPr>
          <w:p w:rsidR="00443E0F" w:rsidRPr="00385E91" w:rsidRDefault="00443E0F" w:rsidP="00443E0F">
            <w:pPr>
              <w:jc w:val="left"/>
              <w:rPr>
                <w:rFonts w:eastAsia="Calibri"/>
                <w:sz w:val="24"/>
                <w:szCs w:val="24"/>
              </w:rPr>
            </w:pPr>
          </w:p>
        </w:tc>
        <w:tc>
          <w:tcPr>
            <w:tcW w:w="1735" w:type="dxa"/>
            <w:vMerge/>
          </w:tcPr>
          <w:p w:rsidR="00443E0F" w:rsidRPr="00385E91" w:rsidRDefault="00443E0F" w:rsidP="00443E0F">
            <w:pPr>
              <w:jc w:val="left"/>
              <w:rPr>
                <w:rFonts w:eastAsia="Calibri"/>
                <w:sz w:val="24"/>
                <w:szCs w:val="24"/>
              </w:rPr>
            </w:pPr>
          </w:p>
        </w:tc>
        <w:tc>
          <w:tcPr>
            <w:tcW w:w="1897" w:type="dxa"/>
            <w:vMerge/>
          </w:tcPr>
          <w:p w:rsidR="00443E0F" w:rsidRPr="00385E91" w:rsidRDefault="00443E0F" w:rsidP="00443E0F">
            <w:pPr>
              <w:jc w:val="left"/>
              <w:rPr>
                <w:rFonts w:eastAsia="Calibri"/>
                <w:sz w:val="24"/>
                <w:szCs w:val="24"/>
              </w:rPr>
            </w:pPr>
          </w:p>
        </w:tc>
        <w:tc>
          <w:tcPr>
            <w:tcW w:w="1187" w:type="dxa"/>
            <w:vMerge/>
          </w:tcPr>
          <w:p w:rsidR="00443E0F" w:rsidRPr="00385E91" w:rsidRDefault="00443E0F" w:rsidP="00443E0F">
            <w:pPr>
              <w:jc w:val="left"/>
              <w:rPr>
                <w:rFonts w:eastAsia="Calibri"/>
                <w:sz w:val="24"/>
                <w:szCs w:val="24"/>
              </w:rPr>
            </w:pPr>
          </w:p>
        </w:tc>
        <w:tc>
          <w:tcPr>
            <w:tcW w:w="2215" w:type="dxa"/>
            <w:vMerge/>
          </w:tcPr>
          <w:p w:rsidR="00443E0F" w:rsidRPr="00385E91" w:rsidRDefault="00443E0F" w:rsidP="00443E0F">
            <w:pPr>
              <w:jc w:val="left"/>
              <w:rPr>
                <w:rFonts w:eastAsia="Calibri"/>
                <w:sz w:val="24"/>
                <w:szCs w:val="24"/>
              </w:rPr>
            </w:pPr>
          </w:p>
        </w:tc>
        <w:tc>
          <w:tcPr>
            <w:tcW w:w="1134" w:type="dxa"/>
          </w:tcPr>
          <w:p w:rsidR="00443E0F" w:rsidRPr="00385E91" w:rsidRDefault="00443E0F" w:rsidP="00443E0F">
            <w:pPr>
              <w:jc w:val="center"/>
              <w:rPr>
                <w:rFonts w:eastAsia="Calibri"/>
                <w:sz w:val="24"/>
                <w:szCs w:val="24"/>
              </w:rPr>
            </w:pPr>
            <w:r w:rsidRPr="00385E91">
              <w:rPr>
                <w:rFonts w:eastAsia="Calibri"/>
                <w:sz w:val="24"/>
                <w:szCs w:val="24"/>
              </w:rPr>
              <w:t>Прогноз на наступ ний рік</w:t>
            </w:r>
          </w:p>
        </w:tc>
        <w:tc>
          <w:tcPr>
            <w:tcW w:w="1134" w:type="dxa"/>
          </w:tcPr>
          <w:p w:rsidR="00443E0F" w:rsidRPr="00385E91" w:rsidRDefault="00443E0F" w:rsidP="00443E0F">
            <w:pPr>
              <w:jc w:val="center"/>
              <w:rPr>
                <w:rFonts w:eastAsia="Calibri"/>
                <w:sz w:val="24"/>
                <w:szCs w:val="24"/>
              </w:rPr>
            </w:pPr>
            <w:r w:rsidRPr="00385E91">
              <w:rPr>
                <w:rFonts w:eastAsia="Calibri"/>
                <w:sz w:val="24"/>
                <w:szCs w:val="24"/>
              </w:rPr>
              <w:t>Прогноз на другий рік</w:t>
            </w:r>
          </w:p>
        </w:tc>
        <w:tc>
          <w:tcPr>
            <w:tcW w:w="1134" w:type="dxa"/>
          </w:tcPr>
          <w:p w:rsidR="00443E0F" w:rsidRPr="00385E91" w:rsidRDefault="00443E0F" w:rsidP="00443E0F">
            <w:pPr>
              <w:jc w:val="center"/>
              <w:rPr>
                <w:rFonts w:eastAsia="Calibri"/>
                <w:sz w:val="24"/>
                <w:szCs w:val="24"/>
              </w:rPr>
            </w:pPr>
            <w:r w:rsidRPr="00385E91">
              <w:rPr>
                <w:rFonts w:eastAsia="Calibri"/>
                <w:sz w:val="24"/>
                <w:szCs w:val="24"/>
              </w:rPr>
              <w:t>Прогноз на третій рік</w:t>
            </w:r>
          </w:p>
        </w:tc>
        <w:tc>
          <w:tcPr>
            <w:tcW w:w="851" w:type="dxa"/>
          </w:tcPr>
          <w:p w:rsidR="00443E0F" w:rsidRPr="00385E91" w:rsidRDefault="00443E0F" w:rsidP="00443E0F">
            <w:pPr>
              <w:jc w:val="center"/>
              <w:rPr>
                <w:rFonts w:eastAsia="Calibri"/>
                <w:sz w:val="24"/>
                <w:szCs w:val="24"/>
              </w:rPr>
            </w:pPr>
            <w:r w:rsidRPr="00385E91">
              <w:rPr>
                <w:rFonts w:eastAsia="Calibri"/>
                <w:sz w:val="24"/>
                <w:szCs w:val="24"/>
              </w:rPr>
              <w:t>Разом</w:t>
            </w:r>
          </w:p>
        </w:tc>
        <w:tc>
          <w:tcPr>
            <w:tcW w:w="1754" w:type="dxa"/>
            <w:vMerge/>
          </w:tcPr>
          <w:p w:rsidR="00443E0F" w:rsidRPr="00385E91" w:rsidRDefault="00443E0F" w:rsidP="00443E0F">
            <w:pPr>
              <w:jc w:val="left"/>
              <w:rPr>
                <w:rFonts w:eastAsia="Calibri"/>
                <w:sz w:val="24"/>
                <w:szCs w:val="24"/>
              </w:rPr>
            </w:pPr>
          </w:p>
        </w:tc>
        <w:tc>
          <w:tcPr>
            <w:tcW w:w="1601" w:type="dxa"/>
            <w:vMerge/>
          </w:tcPr>
          <w:p w:rsidR="00443E0F" w:rsidRPr="00385E91" w:rsidRDefault="00443E0F" w:rsidP="00443E0F">
            <w:pPr>
              <w:jc w:val="left"/>
              <w:rPr>
                <w:rFonts w:eastAsia="Calibri"/>
                <w:sz w:val="24"/>
                <w:szCs w:val="24"/>
              </w:rPr>
            </w:pPr>
          </w:p>
        </w:tc>
      </w:tr>
      <w:tr w:rsidR="00443E0F" w:rsidRPr="00385E91" w:rsidTr="00494A2F">
        <w:tc>
          <w:tcPr>
            <w:tcW w:w="959" w:type="dxa"/>
          </w:tcPr>
          <w:p w:rsidR="00443E0F" w:rsidRPr="00385E91" w:rsidRDefault="00443E0F" w:rsidP="00443E0F">
            <w:pPr>
              <w:jc w:val="left"/>
              <w:rPr>
                <w:rFonts w:eastAsia="Calibri"/>
                <w:sz w:val="24"/>
                <w:szCs w:val="24"/>
              </w:rPr>
            </w:pPr>
          </w:p>
        </w:tc>
        <w:tc>
          <w:tcPr>
            <w:tcW w:w="1735" w:type="dxa"/>
          </w:tcPr>
          <w:p w:rsidR="00443E0F" w:rsidRPr="00385E91" w:rsidRDefault="00443E0F" w:rsidP="00443E0F">
            <w:pPr>
              <w:jc w:val="left"/>
              <w:rPr>
                <w:rFonts w:eastAsia="Calibri"/>
                <w:sz w:val="24"/>
                <w:szCs w:val="24"/>
              </w:rPr>
            </w:pPr>
          </w:p>
        </w:tc>
        <w:tc>
          <w:tcPr>
            <w:tcW w:w="1897" w:type="dxa"/>
          </w:tcPr>
          <w:p w:rsidR="00443E0F" w:rsidRPr="00385E91" w:rsidRDefault="00443E0F" w:rsidP="00443E0F">
            <w:pPr>
              <w:jc w:val="left"/>
              <w:rPr>
                <w:rFonts w:eastAsia="Calibri"/>
                <w:sz w:val="24"/>
                <w:szCs w:val="24"/>
              </w:rPr>
            </w:pPr>
          </w:p>
        </w:tc>
        <w:tc>
          <w:tcPr>
            <w:tcW w:w="1187" w:type="dxa"/>
          </w:tcPr>
          <w:p w:rsidR="00443E0F" w:rsidRPr="00385E91" w:rsidRDefault="00443E0F" w:rsidP="00443E0F">
            <w:pPr>
              <w:jc w:val="left"/>
              <w:rPr>
                <w:rFonts w:eastAsia="Calibri"/>
                <w:sz w:val="24"/>
                <w:szCs w:val="24"/>
              </w:rPr>
            </w:pPr>
          </w:p>
        </w:tc>
        <w:tc>
          <w:tcPr>
            <w:tcW w:w="2215" w:type="dxa"/>
          </w:tcPr>
          <w:p w:rsidR="00443E0F" w:rsidRPr="00385E91" w:rsidRDefault="00443E0F" w:rsidP="00443E0F">
            <w:pPr>
              <w:jc w:val="left"/>
              <w:rPr>
                <w:rFonts w:eastAsia="Calibri"/>
                <w:sz w:val="24"/>
                <w:szCs w:val="24"/>
              </w:rPr>
            </w:pPr>
          </w:p>
        </w:tc>
        <w:tc>
          <w:tcPr>
            <w:tcW w:w="4253" w:type="dxa"/>
            <w:gridSpan w:val="4"/>
          </w:tcPr>
          <w:p w:rsidR="00443E0F" w:rsidRPr="00385E91" w:rsidRDefault="00443E0F" w:rsidP="00443E0F">
            <w:pPr>
              <w:jc w:val="left"/>
              <w:rPr>
                <w:rFonts w:eastAsia="Calibri"/>
                <w:sz w:val="24"/>
                <w:szCs w:val="24"/>
              </w:rPr>
            </w:pPr>
          </w:p>
        </w:tc>
        <w:tc>
          <w:tcPr>
            <w:tcW w:w="1754" w:type="dxa"/>
          </w:tcPr>
          <w:p w:rsidR="00443E0F" w:rsidRPr="00385E91" w:rsidRDefault="00443E0F" w:rsidP="00443E0F">
            <w:pPr>
              <w:jc w:val="left"/>
              <w:rPr>
                <w:rFonts w:eastAsia="Calibri"/>
                <w:sz w:val="24"/>
                <w:szCs w:val="24"/>
              </w:rPr>
            </w:pPr>
          </w:p>
        </w:tc>
        <w:tc>
          <w:tcPr>
            <w:tcW w:w="1601" w:type="dxa"/>
          </w:tcPr>
          <w:p w:rsidR="00443E0F" w:rsidRPr="00385E91" w:rsidRDefault="00443E0F" w:rsidP="00443E0F">
            <w:pPr>
              <w:jc w:val="left"/>
              <w:rPr>
                <w:rFonts w:eastAsia="Calibri"/>
                <w:sz w:val="24"/>
                <w:szCs w:val="24"/>
              </w:rPr>
            </w:pPr>
          </w:p>
        </w:tc>
      </w:tr>
    </w:tbl>
    <w:p w:rsidR="00443E0F" w:rsidRPr="00385E91" w:rsidRDefault="00443E0F" w:rsidP="00443E0F">
      <w:pPr>
        <w:jc w:val="left"/>
        <w:rPr>
          <w:rFonts w:eastAsia="Calibri"/>
          <w:sz w:val="24"/>
          <w:szCs w:val="24"/>
        </w:rPr>
      </w:pPr>
      <w:r w:rsidRPr="00385E91">
        <w:rPr>
          <w:rFonts w:eastAsia="Calibri"/>
          <w:sz w:val="24"/>
          <w:szCs w:val="24"/>
        </w:rPr>
        <w:t xml:space="preserve">Розпочаті публічні інвестиційні </w:t>
      </w:r>
      <w:proofErr w:type="spellStart"/>
      <w:r w:rsidRPr="00385E91">
        <w:rPr>
          <w:rFonts w:eastAsia="Calibri"/>
          <w:sz w:val="24"/>
          <w:szCs w:val="24"/>
        </w:rPr>
        <w:t>проєкти</w:t>
      </w:r>
      <w:proofErr w:type="spellEnd"/>
      <w:r w:rsidRPr="00385E91">
        <w:rPr>
          <w:rFonts w:eastAsia="Calibri"/>
          <w:sz w:val="24"/>
          <w:szCs w:val="24"/>
        </w:rPr>
        <w:t xml:space="preserve"> (програми публічних інвестицій):</w:t>
      </w:r>
    </w:p>
    <w:p w:rsidR="00443E0F" w:rsidRPr="00385E91" w:rsidRDefault="00443E0F" w:rsidP="00443E0F">
      <w:pPr>
        <w:jc w:val="left"/>
        <w:rPr>
          <w:rFonts w:eastAsia="Calibri"/>
          <w:sz w:val="24"/>
          <w:szCs w:val="24"/>
        </w:rPr>
      </w:pPr>
      <w:r w:rsidRPr="00385E91">
        <w:rPr>
          <w:rFonts w:eastAsia="Calibri"/>
          <w:sz w:val="24"/>
          <w:szCs w:val="24"/>
        </w:rPr>
        <w:t>______________________________________________________________________________________________________________________________</w:t>
      </w:r>
    </w:p>
    <w:p w:rsidR="00443E0F" w:rsidRPr="00385E91" w:rsidRDefault="00443E0F" w:rsidP="00443E0F">
      <w:pPr>
        <w:jc w:val="left"/>
        <w:rPr>
          <w:rFonts w:eastAsia="Calibri"/>
          <w:sz w:val="24"/>
          <w:szCs w:val="24"/>
        </w:rPr>
      </w:pPr>
      <w:r w:rsidRPr="00385E91">
        <w:rPr>
          <w:rFonts w:eastAsia="Calibri"/>
          <w:sz w:val="24"/>
          <w:szCs w:val="24"/>
        </w:rPr>
        <w:t xml:space="preserve">Нові публічні інвестиційні </w:t>
      </w:r>
      <w:proofErr w:type="spellStart"/>
      <w:r w:rsidRPr="00385E91">
        <w:rPr>
          <w:rFonts w:eastAsia="Calibri"/>
          <w:sz w:val="24"/>
          <w:szCs w:val="24"/>
        </w:rPr>
        <w:t>проєкти</w:t>
      </w:r>
      <w:proofErr w:type="spellEnd"/>
      <w:r w:rsidRPr="00385E91">
        <w:rPr>
          <w:rFonts w:eastAsia="Calibri"/>
          <w:sz w:val="24"/>
          <w:szCs w:val="24"/>
        </w:rPr>
        <w:t xml:space="preserve"> (програми публічних інвестицій):</w:t>
      </w:r>
    </w:p>
    <w:p w:rsidR="00443E0F" w:rsidRPr="00385E91" w:rsidRDefault="00443E0F" w:rsidP="00443E0F">
      <w:pPr>
        <w:jc w:val="left"/>
        <w:rPr>
          <w:rFonts w:eastAsia="Calibri"/>
          <w:sz w:val="24"/>
          <w:szCs w:val="24"/>
        </w:rPr>
      </w:pPr>
      <w:r w:rsidRPr="00385E91">
        <w:rPr>
          <w:rFonts w:eastAsia="Calibri"/>
          <w:sz w:val="24"/>
          <w:szCs w:val="24"/>
        </w:rPr>
        <w:t>______________________________________________________________________________________________________________________________</w:t>
      </w:r>
    </w:p>
    <w:p w:rsidR="00443E0F" w:rsidRPr="00D24827" w:rsidRDefault="00443E0F" w:rsidP="00443E0F">
      <w:pPr>
        <w:jc w:val="left"/>
        <w:rPr>
          <w:rFonts w:eastAsia="Calibri"/>
          <w:sz w:val="24"/>
          <w:szCs w:val="24"/>
          <w:lang w:eastAsia="en-US"/>
        </w:rPr>
      </w:pPr>
      <w:r w:rsidRPr="00385E91">
        <w:rPr>
          <w:rFonts w:eastAsia="Calibri"/>
          <w:sz w:val="24"/>
          <w:szCs w:val="24"/>
          <w:lang w:eastAsia="en-US"/>
        </w:rPr>
        <w:t>РАЗОМ за галузями _____________________________________________________________________________________________________________</w:t>
      </w:r>
    </w:p>
    <w:p w:rsidR="00443E0F" w:rsidRPr="00D24827" w:rsidRDefault="00443E0F" w:rsidP="00443E0F">
      <w:pPr>
        <w:rPr>
          <w:color w:val="000000"/>
          <w:lang w:eastAsia="uk-UA"/>
        </w:rPr>
      </w:pPr>
    </w:p>
    <w:sectPr w:rsidR="00443E0F" w:rsidRPr="00D24827" w:rsidSect="00052820">
      <w:pgSz w:w="16838" w:h="11906" w:orient="landscape"/>
      <w:pgMar w:top="993" w:right="851" w:bottom="567" w:left="85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021" w:rsidRDefault="00813021" w:rsidP="002658F1">
      <w:r>
        <w:separator/>
      </w:r>
    </w:p>
  </w:endnote>
  <w:endnote w:type="continuationSeparator" w:id="0">
    <w:p w:rsidR="00813021" w:rsidRDefault="00813021" w:rsidP="00265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021" w:rsidRDefault="00813021" w:rsidP="002658F1">
      <w:r>
        <w:separator/>
      </w:r>
    </w:p>
  </w:footnote>
  <w:footnote w:type="continuationSeparator" w:id="0">
    <w:p w:rsidR="00813021" w:rsidRDefault="00813021" w:rsidP="00265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9076152"/>
      <w:docPartObj>
        <w:docPartGallery w:val="Page Numbers (Top of Page)"/>
        <w:docPartUnique/>
      </w:docPartObj>
    </w:sdtPr>
    <w:sdtEndPr/>
    <w:sdtContent>
      <w:p w:rsidR="00ED7B85" w:rsidRDefault="00ED7B85">
        <w:pPr>
          <w:pStyle w:val="ac"/>
          <w:jc w:val="center"/>
        </w:pPr>
        <w:r>
          <w:fldChar w:fldCharType="begin"/>
        </w:r>
        <w:r>
          <w:instrText>PAGE   \* MERGEFORMAT</w:instrText>
        </w:r>
        <w:r>
          <w:fldChar w:fldCharType="separate"/>
        </w:r>
        <w:r w:rsidR="00BB63DF" w:rsidRPr="00BB63DF">
          <w:rPr>
            <w:noProof/>
            <w:lang w:val="ru-RU"/>
          </w:rPr>
          <w:t>9</w:t>
        </w:r>
        <w:r>
          <w:fldChar w:fldCharType="end"/>
        </w:r>
      </w:p>
    </w:sdtContent>
  </w:sdt>
  <w:p w:rsidR="00F3529C" w:rsidRDefault="00F3529C">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746" w:rsidRPr="00764323" w:rsidRDefault="00577FCF" w:rsidP="00764323">
    <w:pPr>
      <w:pStyle w:val="ac"/>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46E29"/>
    <w:multiLevelType w:val="multilevel"/>
    <w:tmpl w:val="EF44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21AA2"/>
    <w:multiLevelType w:val="hybridMultilevel"/>
    <w:tmpl w:val="DF541A4E"/>
    <w:lvl w:ilvl="0" w:tplc="830007A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0D2DCA"/>
    <w:multiLevelType w:val="hybridMultilevel"/>
    <w:tmpl w:val="DA7A1E34"/>
    <w:lvl w:ilvl="0" w:tplc="360CBA54">
      <w:start w:val="1"/>
      <w:numFmt w:val="decimal"/>
      <w:lvlText w:val="%1."/>
      <w:lvlJc w:val="left"/>
      <w:pPr>
        <w:ind w:left="999" w:hanging="432"/>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00B1728"/>
    <w:multiLevelType w:val="hybridMultilevel"/>
    <w:tmpl w:val="CCD235F6"/>
    <w:lvl w:ilvl="0" w:tplc="1E18C6F8">
      <w:start w:val="1"/>
      <w:numFmt w:val="decimal"/>
      <w:lvlText w:val="%1."/>
      <w:lvlJc w:val="left"/>
      <w:pPr>
        <w:ind w:left="987" w:hanging="42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21B85005"/>
    <w:multiLevelType w:val="hybridMultilevel"/>
    <w:tmpl w:val="2CBA452E"/>
    <w:lvl w:ilvl="0" w:tplc="830007A8">
      <w:numFmt w:val="bullet"/>
      <w:lvlText w:val="-"/>
      <w:lvlJc w:val="left"/>
      <w:pPr>
        <w:ind w:left="1494" w:hanging="360"/>
      </w:pPr>
      <w:rPr>
        <w:rFonts w:ascii="Times New Roman" w:eastAsia="Times New Roman"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 w15:restartNumberingAfterBreak="0">
    <w:nsid w:val="45296C9F"/>
    <w:multiLevelType w:val="hybridMultilevel"/>
    <w:tmpl w:val="1CC8729A"/>
    <w:lvl w:ilvl="0" w:tplc="9AA67FE0">
      <w:start w:val="1"/>
      <w:numFmt w:val="decimal"/>
      <w:lvlText w:val="%1."/>
      <w:lvlJc w:val="left"/>
      <w:pPr>
        <w:ind w:left="1359" w:hanging="360"/>
      </w:pPr>
      <w:rPr>
        <w:rFonts w:hint="default"/>
      </w:rPr>
    </w:lvl>
    <w:lvl w:ilvl="1" w:tplc="04220019" w:tentative="1">
      <w:start w:val="1"/>
      <w:numFmt w:val="lowerLetter"/>
      <w:lvlText w:val="%2."/>
      <w:lvlJc w:val="left"/>
      <w:pPr>
        <w:ind w:left="2079" w:hanging="360"/>
      </w:pPr>
    </w:lvl>
    <w:lvl w:ilvl="2" w:tplc="0422001B" w:tentative="1">
      <w:start w:val="1"/>
      <w:numFmt w:val="lowerRoman"/>
      <w:lvlText w:val="%3."/>
      <w:lvlJc w:val="right"/>
      <w:pPr>
        <w:ind w:left="2799" w:hanging="180"/>
      </w:pPr>
    </w:lvl>
    <w:lvl w:ilvl="3" w:tplc="0422000F" w:tentative="1">
      <w:start w:val="1"/>
      <w:numFmt w:val="decimal"/>
      <w:lvlText w:val="%4."/>
      <w:lvlJc w:val="left"/>
      <w:pPr>
        <w:ind w:left="3519" w:hanging="360"/>
      </w:pPr>
    </w:lvl>
    <w:lvl w:ilvl="4" w:tplc="04220019" w:tentative="1">
      <w:start w:val="1"/>
      <w:numFmt w:val="lowerLetter"/>
      <w:lvlText w:val="%5."/>
      <w:lvlJc w:val="left"/>
      <w:pPr>
        <w:ind w:left="4239" w:hanging="360"/>
      </w:pPr>
    </w:lvl>
    <w:lvl w:ilvl="5" w:tplc="0422001B" w:tentative="1">
      <w:start w:val="1"/>
      <w:numFmt w:val="lowerRoman"/>
      <w:lvlText w:val="%6."/>
      <w:lvlJc w:val="right"/>
      <w:pPr>
        <w:ind w:left="4959" w:hanging="180"/>
      </w:pPr>
    </w:lvl>
    <w:lvl w:ilvl="6" w:tplc="0422000F" w:tentative="1">
      <w:start w:val="1"/>
      <w:numFmt w:val="decimal"/>
      <w:lvlText w:val="%7."/>
      <w:lvlJc w:val="left"/>
      <w:pPr>
        <w:ind w:left="5679" w:hanging="360"/>
      </w:pPr>
    </w:lvl>
    <w:lvl w:ilvl="7" w:tplc="04220019" w:tentative="1">
      <w:start w:val="1"/>
      <w:numFmt w:val="lowerLetter"/>
      <w:lvlText w:val="%8."/>
      <w:lvlJc w:val="left"/>
      <w:pPr>
        <w:ind w:left="6399" w:hanging="360"/>
      </w:pPr>
    </w:lvl>
    <w:lvl w:ilvl="8" w:tplc="0422001B" w:tentative="1">
      <w:start w:val="1"/>
      <w:numFmt w:val="lowerRoman"/>
      <w:lvlText w:val="%9."/>
      <w:lvlJc w:val="right"/>
      <w:pPr>
        <w:ind w:left="7119" w:hanging="180"/>
      </w:pPr>
    </w:lvl>
  </w:abstractNum>
  <w:abstractNum w:abstractNumId="6" w15:restartNumberingAfterBreak="0">
    <w:nsid w:val="53E12F21"/>
    <w:multiLevelType w:val="hybridMultilevel"/>
    <w:tmpl w:val="9968BF26"/>
    <w:lvl w:ilvl="0" w:tplc="3AB6D00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352CDF"/>
    <w:multiLevelType w:val="hybridMultilevel"/>
    <w:tmpl w:val="38381412"/>
    <w:lvl w:ilvl="0" w:tplc="4BBCC62E">
      <w:start w:val="1"/>
      <w:numFmt w:val="decimal"/>
      <w:lvlText w:val="%1."/>
      <w:lvlJc w:val="left"/>
      <w:pPr>
        <w:ind w:left="281" w:hanging="280"/>
      </w:pPr>
      <w:rPr>
        <w:rFonts w:ascii="Times New Roman" w:eastAsia="Times New Roman" w:hAnsi="Times New Roman" w:cs="Times New Roman" w:hint="default"/>
        <w:b w:val="0"/>
        <w:bCs w:val="0"/>
        <w:i w:val="0"/>
        <w:iCs w:val="0"/>
        <w:spacing w:val="0"/>
        <w:w w:val="100"/>
        <w:sz w:val="24"/>
        <w:szCs w:val="24"/>
        <w:lang w:val="uk-UA" w:eastAsia="en-US" w:bidi="ar-SA"/>
      </w:rPr>
    </w:lvl>
    <w:lvl w:ilvl="1" w:tplc="4EC07782">
      <w:numFmt w:val="bullet"/>
      <w:lvlText w:val="•"/>
      <w:lvlJc w:val="left"/>
      <w:pPr>
        <w:ind w:left="1256" w:hanging="280"/>
      </w:pPr>
      <w:rPr>
        <w:lang w:val="uk-UA" w:eastAsia="en-US" w:bidi="ar-SA"/>
      </w:rPr>
    </w:lvl>
    <w:lvl w:ilvl="2" w:tplc="470635EC">
      <w:numFmt w:val="bullet"/>
      <w:lvlText w:val="•"/>
      <w:lvlJc w:val="left"/>
      <w:pPr>
        <w:ind w:left="2233" w:hanging="280"/>
      </w:pPr>
      <w:rPr>
        <w:lang w:val="uk-UA" w:eastAsia="en-US" w:bidi="ar-SA"/>
      </w:rPr>
    </w:lvl>
    <w:lvl w:ilvl="3" w:tplc="2C3AF880">
      <w:numFmt w:val="bullet"/>
      <w:lvlText w:val="•"/>
      <w:lvlJc w:val="left"/>
      <w:pPr>
        <w:ind w:left="3209" w:hanging="280"/>
      </w:pPr>
      <w:rPr>
        <w:lang w:val="uk-UA" w:eastAsia="en-US" w:bidi="ar-SA"/>
      </w:rPr>
    </w:lvl>
    <w:lvl w:ilvl="4" w:tplc="DE5C27AC">
      <w:numFmt w:val="bullet"/>
      <w:lvlText w:val="•"/>
      <w:lvlJc w:val="left"/>
      <w:pPr>
        <w:ind w:left="4186" w:hanging="280"/>
      </w:pPr>
      <w:rPr>
        <w:lang w:val="uk-UA" w:eastAsia="en-US" w:bidi="ar-SA"/>
      </w:rPr>
    </w:lvl>
    <w:lvl w:ilvl="5" w:tplc="3572D508">
      <w:numFmt w:val="bullet"/>
      <w:lvlText w:val="•"/>
      <w:lvlJc w:val="left"/>
      <w:pPr>
        <w:ind w:left="5163" w:hanging="280"/>
      </w:pPr>
      <w:rPr>
        <w:lang w:val="uk-UA" w:eastAsia="en-US" w:bidi="ar-SA"/>
      </w:rPr>
    </w:lvl>
    <w:lvl w:ilvl="6" w:tplc="42226312">
      <w:numFmt w:val="bullet"/>
      <w:lvlText w:val="•"/>
      <w:lvlJc w:val="left"/>
      <w:pPr>
        <w:ind w:left="6139" w:hanging="280"/>
      </w:pPr>
      <w:rPr>
        <w:lang w:val="uk-UA" w:eastAsia="en-US" w:bidi="ar-SA"/>
      </w:rPr>
    </w:lvl>
    <w:lvl w:ilvl="7" w:tplc="47FAABAE">
      <w:numFmt w:val="bullet"/>
      <w:lvlText w:val="•"/>
      <w:lvlJc w:val="left"/>
      <w:pPr>
        <w:ind w:left="7116" w:hanging="280"/>
      </w:pPr>
      <w:rPr>
        <w:lang w:val="uk-UA" w:eastAsia="en-US" w:bidi="ar-SA"/>
      </w:rPr>
    </w:lvl>
    <w:lvl w:ilvl="8" w:tplc="A43AD500">
      <w:numFmt w:val="bullet"/>
      <w:lvlText w:val="•"/>
      <w:lvlJc w:val="left"/>
      <w:pPr>
        <w:ind w:left="8092" w:hanging="280"/>
      </w:pPr>
      <w:rPr>
        <w:lang w:val="uk-UA" w:eastAsia="en-US" w:bidi="ar-SA"/>
      </w:rPr>
    </w:lvl>
  </w:abstractNum>
  <w:abstractNum w:abstractNumId="8" w15:restartNumberingAfterBreak="0">
    <w:nsid w:val="5A6A4BB4"/>
    <w:multiLevelType w:val="hybridMultilevel"/>
    <w:tmpl w:val="169CC11C"/>
    <w:lvl w:ilvl="0" w:tplc="EBF47E50">
      <w:start w:val="1"/>
      <w:numFmt w:val="decimal"/>
      <w:lvlText w:val="%1)"/>
      <w:lvlJc w:val="left"/>
      <w:pPr>
        <w:ind w:left="281" w:hanging="304"/>
      </w:pPr>
      <w:rPr>
        <w:rFonts w:ascii="Times New Roman" w:eastAsia="Times New Roman" w:hAnsi="Times New Roman" w:cs="Times New Roman" w:hint="default"/>
        <w:b w:val="0"/>
        <w:bCs w:val="0"/>
        <w:i w:val="0"/>
        <w:iCs w:val="0"/>
        <w:spacing w:val="0"/>
        <w:w w:val="100"/>
        <w:sz w:val="24"/>
        <w:szCs w:val="24"/>
        <w:lang w:val="uk-UA" w:eastAsia="en-US" w:bidi="ar-SA"/>
      </w:rPr>
    </w:lvl>
    <w:lvl w:ilvl="1" w:tplc="F5B2615C">
      <w:numFmt w:val="bullet"/>
      <w:lvlText w:val="•"/>
      <w:lvlJc w:val="left"/>
      <w:pPr>
        <w:ind w:left="1256" w:hanging="304"/>
      </w:pPr>
      <w:rPr>
        <w:lang w:val="uk-UA" w:eastAsia="en-US" w:bidi="ar-SA"/>
      </w:rPr>
    </w:lvl>
    <w:lvl w:ilvl="2" w:tplc="856049BC">
      <w:numFmt w:val="bullet"/>
      <w:lvlText w:val="•"/>
      <w:lvlJc w:val="left"/>
      <w:pPr>
        <w:ind w:left="2233" w:hanging="304"/>
      </w:pPr>
      <w:rPr>
        <w:lang w:val="uk-UA" w:eastAsia="en-US" w:bidi="ar-SA"/>
      </w:rPr>
    </w:lvl>
    <w:lvl w:ilvl="3" w:tplc="3822C4E8">
      <w:numFmt w:val="bullet"/>
      <w:lvlText w:val="•"/>
      <w:lvlJc w:val="left"/>
      <w:pPr>
        <w:ind w:left="3209" w:hanging="304"/>
      </w:pPr>
      <w:rPr>
        <w:lang w:val="uk-UA" w:eastAsia="en-US" w:bidi="ar-SA"/>
      </w:rPr>
    </w:lvl>
    <w:lvl w:ilvl="4" w:tplc="B406F752">
      <w:numFmt w:val="bullet"/>
      <w:lvlText w:val="•"/>
      <w:lvlJc w:val="left"/>
      <w:pPr>
        <w:ind w:left="4186" w:hanging="304"/>
      </w:pPr>
      <w:rPr>
        <w:lang w:val="uk-UA" w:eastAsia="en-US" w:bidi="ar-SA"/>
      </w:rPr>
    </w:lvl>
    <w:lvl w:ilvl="5" w:tplc="8C22975A">
      <w:numFmt w:val="bullet"/>
      <w:lvlText w:val="•"/>
      <w:lvlJc w:val="left"/>
      <w:pPr>
        <w:ind w:left="5163" w:hanging="304"/>
      </w:pPr>
      <w:rPr>
        <w:lang w:val="uk-UA" w:eastAsia="en-US" w:bidi="ar-SA"/>
      </w:rPr>
    </w:lvl>
    <w:lvl w:ilvl="6" w:tplc="F09C12D2">
      <w:numFmt w:val="bullet"/>
      <w:lvlText w:val="•"/>
      <w:lvlJc w:val="left"/>
      <w:pPr>
        <w:ind w:left="6139" w:hanging="304"/>
      </w:pPr>
      <w:rPr>
        <w:lang w:val="uk-UA" w:eastAsia="en-US" w:bidi="ar-SA"/>
      </w:rPr>
    </w:lvl>
    <w:lvl w:ilvl="7" w:tplc="562EAD8C">
      <w:numFmt w:val="bullet"/>
      <w:lvlText w:val="•"/>
      <w:lvlJc w:val="left"/>
      <w:pPr>
        <w:ind w:left="7116" w:hanging="304"/>
      </w:pPr>
      <w:rPr>
        <w:lang w:val="uk-UA" w:eastAsia="en-US" w:bidi="ar-SA"/>
      </w:rPr>
    </w:lvl>
    <w:lvl w:ilvl="8" w:tplc="55A4EEF6">
      <w:numFmt w:val="bullet"/>
      <w:lvlText w:val="•"/>
      <w:lvlJc w:val="left"/>
      <w:pPr>
        <w:ind w:left="8092" w:hanging="304"/>
      </w:pPr>
      <w:rPr>
        <w:lang w:val="uk-UA" w:eastAsia="en-US" w:bidi="ar-SA"/>
      </w:rPr>
    </w:lvl>
  </w:abstractNum>
  <w:abstractNum w:abstractNumId="9" w15:restartNumberingAfterBreak="0">
    <w:nsid w:val="5D1A0515"/>
    <w:multiLevelType w:val="hybridMultilevel"/>
    <w:tmpl w:val="AD1808F0"/>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386DE1"/>
    <w:multiLevelType w:val="hybridMultilevel"/>
    <w:tmpl w:val="77B01614"/>
    <w:lvl w:ilvl="0" w:tplc="D65C4918">
      <w:start w:val="3"/>
      <w:numFmt w:val="bullet"/>
      <w:lvlText w:val="-"/>
      <w:lvlJc w:val="left"/>
      <w:pPr>
        <w:ind w:left="346" w:hanging="360"/>
      </w:pPr>
      <w:rPr>
        <w:rFonts w:ascii="Times New Roman" w:eastAsia="Times New Roman" w:hAnsi="Times New Roman" w:cs="Times New Roman" w:hint="default"/>
      </w:rPr>
    </w:lvl>
    <w:lvl w:ilvl="1" w:tplc="04190003" w:tentative="1">
      <w:start w:val="1"/>
      <w:numFmt w:val="bullet"/>
      <w:lvlText w:val="o"/>
      <w:lvlJc w:val="left"/>
      <w:pPr>
        <w:ind w:left="1066" w:hanging="360"/>
      </w:pPr>
      <w:rPr>
        <w:rFonts w:ascii="Courier New" w:hAnsi="Courier New" w:cs="Courier New" w:hint="default"/>
      </w:rPr>
    </w:lvl>
    <w:lvl w:ilvl="2" w:tplc="04190005" w:tentative="1">
      <w:start w:val="1"/>
      <w:numFmt w:val="bullet"/>
      <w:lvlText w:val=""/>
      <w:lvlJc w:val="left"/>
      <w:pPr>
        <w:ind w:left="1786" w:hanging="360"/>
      </w:pPr>
      <w:rPr>
        <w:rFonts w:ascii="Wingdings" w:hAnsi="Wingdings" w:hint="default"/>
      </w:rPr>
    </w:lvl>
    <w:lvl w:ilvl="3" w:tplc="04190001" w:tentative="1">
      <w:start w:val="1"/>
      <w:numFmt w:val="bullet"/>
      <w:lvlText w:val=""/>
      <w:lvlJc w:val="left"/>
      <w:pPr>
        <w:ind w:left="2506" w:hanging="360"/>
      </w:pPr>
      <w:rPr>
        <w:rFonts w:ascii="Symbol" w:hAnsi="Symbol" w:hint="default"/>
      </w:rPr>
    </w:lvl>
    <w:lvl w:ilvl="4" w:tplc="04190003" w:tentative="1">
      <w:start w:val="1"/>
      <w:numFmt w:val="bullet"/>
      <w:lvlText w:val="o"/>
      <w:lvlJc w:val="left"/>
      <w:pPr>
        <w:ind w:left="3226" w:hanging="360"/>
      </w:pPr>
      <w:rPr>
        <w:rFonts w:ascii="Courier New" w:hAnsi="Courier New" w:cs="Courier New" w:hint="default"/>
      </w:rPr>
    </w:lvl>
    <w:lvl w:ilvl="5" w:tplc="04190005" w:tentative="1">
      <w:start w:val="1"/>
      <w:numFmt w:val="bullet"/>
      <w:lvlText w:val=""/>
      <w:lvlJc w:val="left"/>
      <w:pPr>
        <w:ind w:left="3946" w:hanging="360"/>
      </w:pPr>
      <w:rPr>
        <w:rFonts w:ascii="Wingdings" w:hAnsi="Wingdings" w:hint="default"/>
      </w:rPr>
    </w:lvl>
    <w:lvl w:ilvl="6" w:tplc="04190001" w:tentative="1">
      <w:start w:val="1"/>
      <w:numFmt w:val="bullet"/>
      <w:lvlText w:val=""/>
      <w:lvlJc w:val="left"/>
      <w:pPr>
        <w:ind w:left="4666" w:hanging="360"/>
      </w:pPr>
      <w:rPr>
        <w:rFonts w:ascii="Symbol" w:hAnsi="Symbol" w:hint="default"/>
      </w:rPr>
    </w:lvl>
    <w:lvl w:ilvl="7" w:tplc="04190003" w:tentative="1">
      <w:start w:val="1"/>
      <w:numFmt w:val="bullet"/>
      <w:lvlText w:val="o"/>
      <w:lvlJc w:val="left"/>
      <w:pPr>
        <w:ind w:left="5386" w:hanging="360"/>
      </w:pPr>
      <w:rPr>
        <w:rFonts w:ascii="Courier New" w:hAnsi="Courier New" w:cs="Courier New" w:hint="default"/>
      </w:rPr>
    </w:lvl>
    <w:lvl w:ilvl="8" w:tplc="04190005" w:tentative="1">
      <w:start w:val="1"/>
      <w:numFmt w:val="bullet"/>
      <w:lvlText w:val=""/>
      <w:lvlJc w:val="left"/>
      <w:pPr>
        <w:ind w:left="6106" w:hanging="360"/>
      </w:pPr>
      <w:rPr>
        <w:rFonts w:ascii="Wingdings" w:hAnsi="Wingdings" w:hint="default"/>
      </w:rPr>
    </w:lvl>
  </w:abstractNum>
  <w:abstractNum w:abstractNumId="11" w15:restartNumberingAfterBreak="0">
    <w:nsid w:val="5D485884"/>
    <w:multiLevelType w:val="hybridMultilevel"/>
    <w:tmpl w:val="6826E254"/>
    <w:lvl w:ilvl="0" w:tplc="70F27126">
      <w:start w:val="1"/>
      <w:numFmt w:val="decimal"/>
      <w:lvlText w:val="%1."/>
      <w:lvlJc w:val="left"/>
      <w:pPr>
        <w:ind w:left="1734" w:hanging="1050"/>
      </w:pPr>
      <w:rPr>
        <w:rFonts w:hint="default"/>
        <w:b w:val="0"/>
      </w:rPr>
    </w:lvl>
    <w:lvl w:ilvl="1" w:tplc="87E264CE">
      <w:numFmt w:val="bullet"/>
      <w:lvlText w:val="-"/>
      <w:lvlJc w:val="left"/>
      <w:pPr>
        <w:ind w:left="1764" w:hanging="360"/>
      </w:pPr>
      <w:rPr>
        <w:rFonts w:ascii="Times New Roman" w:eastAsia="Times New Roman" w:hAnsi="Times New Roman" w:cs="Times New Roman" w:hint="default"/>
      </w:rPr>
    </w:lvl>
    <w:lvl w:ilvl="2" w:tplc="0419001B" w:tentative="1">
      <w:start w:val="1"/>
      <w:numFmt w:val="lowerRoman"/>
      <w:lvlText w:val="%3."/>
      <w:lvlJc w:val="right"/>
      <w:pPr>
        <w:ind w:left="2484" w:hanging="180"/>
      </w:pPr>
    </w:lvl>
    <w:lvl w:ilvl="3" w:tplc="0419000F" w:tentative="1">
      <w:start w:val="1"/>
      <w:numFmt w:val="decimal"/>
      <w:lvlText w:val="%4."/>
      <w:lvlJc w:val="left"/>
      <w:pPr>
        <w:ind w:left="3204" w:hanging="360"/>
      </w:pPr>
    </w:lvl>
    <w:lvl w:ilvl="4" w:tplc="04190019" w:tentative="1">
      <w:start w:val="1"/>
      <w:numFmt w:val="lowerLetter"/>
      <w:lvlText w:val="%5."/>
      <w:lvlJc w:val="left"/>
      <w:pPr>
        <w:ind w:left="3924" w:hanging="360"/>
      </w:pPr>
    </w:lvl>
    <w:lvl w:ilvl="5" w:tplc="0419001B" w:tentative="1">
      <w:start w:val="1"/>
      <w:numFmt w:val="lowerRoman"/>
      <w:lvlText w:val="%6."/>
      <w:lvlJc w:val="right"/>
      <w:pPr>
        <w:ind w:left="4644" w:hanging="180"/>
      </w:pPr>
    </w:lvl>
    <w:lvl w:ilvl="6" w:tplc="0419000F" w:tentative="1">
      <w:start w:val="1"/>
      <w:numFmt w:val="decimal"/>
      <w:lvlText w:val="%7."/>
      <w:lvlJc w:val="left"/>
      <w:pPr>
        <w:ind w:left="5364" w:hanging="360"/>
      </w:pPr>
    </w:lvl>
    <w:lvl w:ilvl="7" w:tplc="04190019" w:tentative="1">
      <w:start w:val="1"/>
      <w:numFmt w:val="lowerLetter"/>
      <w:lvlText w:val="%8."/>
      <w:lvlJc w:val="left"/>
      <w:pPr>
        <w:ind w:left="6084" w:hanging="360"/>
      </w:pPr>
    </w:lvl>
    <w:lvl w:ilvl="8" w:tplc="0419001B" w:tentative="1">
      <w:start w:val="1"/>
      <w:numFmt w:val="lowerRoman"/>
      <w:lvlText w:val="%9."/>
      <w:lvlJc w:val="right"/>
      <w:pPr>
        <w:ind w:left="6804" w:hanging="180"/>
      </w:pPr>
    </w:lvl>
  </w:abstractNum>
  <w:abstractNum w:abstractNumId="12" w15:restartNumberingAfterBreak="0">
    <w:nsid w:val="690A6575"/>
    <w:multiLevelType w:val="hybridMultilevel"/>
    <w:tmpl w:val="FF18F2F0"/>
    <w:lvl w:ilvl="0" w:tplc="9EAA7CA6">
      <w:numFmt w:val="bullet"/>
      <w:lvlText w:val="-"/>
      <w:lvlJc w:val="left"/>
      <w:pPr>
        <w:ind w:left="1789" w:hanging="360"/>
      </w:pPr>
      <w:rPr>
        <w:rFonts w:ascii="Times New Roman" w:eastAsia="Times New Roman" w:hAnsi="Times New Roman" w:cs="Times New Roman" w:hint="default"/>
      </w:rPr>
    </w:lvl>
    <w:lvl w:ilvl="1" w:tplc="87E264CE">
      <w:numFmt w:val="bullet"/>
      <w:lvlText w:val="-"/>
      <w:lvlJc w:val="left"/>
      <w:pPr>
        <w:ind w:left="2509" w:hanging="360"/>
      </w:pPr>
      <w:rPr>
        <w:rFonts w:ascii="Times New Roman" w:eastAsia="Times New Roman" w:hAnsi="Times New Roman" w:cs="Times New Roman"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13" w15:restartNumberingAfterBreak="0">
    <w:nsid w:val="77F70553"/>
    <w:multiLevelType w:val="hybridMultilevel"/>
    <w:tmpl w:val="B4EAE474"/>
    <w:lvl w:ilvl="0" w:tplc="9306E0B8">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1"/>
  </w:num>
  <w:num w:numId="2">
    <w:abstractNumId w:val="12"/>
  </w:num>
  <w:num w:numId="3">
    <w:abstractNumId w:val="6"/>
  </w:num>
  <w:num w:numId="4">
    <w:abstractNumId w:val="1"/>
  </w:num>
  <w:num w:numId="5">
    <w:abstractNumId w:val="4"/>
  </w:num>
  <w:num w:numId="6">
    <w:abstractNumId w:val="1"/>
  </w:num>
  <w:num w:numId="7">
    <w:abstractNumId w:val="1"/>
  </w:num>
  <w:num w:numId="8">
    <w:abstractNumId w:val="13"/>
  </w:num>
  <w:num w:numId="9">
    <w:abstractNumId w:val="9"/>
  </w:num>
  <w:num w:numId="10">
    <w:abstractNumId w:val="10"/>
  </w:num>
  <w:num w:numId="11">
    <w:abstractNumId w:val="0"/>
  </w:num>
  <w:num w:numId="12">
    <w:abstractNumId w:val="8"/>
    <w:lvlOverride w:ilvl="0">
      <w:startOverride w:val="1"/>
    </w:lvlOverride>
    <w:lvlOverride w:ilvl="1"/>
    <w:lvlOverride w:ilvl="2"/>
    <w:lvlOverride w:ilvl="3"/>
    <w:lvlOverride w:ilvl="4"/>
    <w:lvlOverride w:ilvl="5"/>
    <w:lvlOverride w:ilvl="6"/>
    <w:lvlOverride w:ilvl="7"/>
    <w:lvlOverride w:ilvl="8"/>
  </w:num>
  <w:num w:numId="13">
    <w:abstractNumId w:val="7"/>
    <w:lvlOverride w:ilvl="0">
      <w:startOverride w:val="1"/>
    </w:lvlOverride>
    <w:lvlOverride w:ilvl="1"/>
    <w:lvlOverride w:ilvl="2"/>
    <w:lvlOverride w:ilvl="3"/>
    <w:lvlOverride w:ilvl="4"/>
    <w:lvlOverride w:ilvl="5"/>
    <w:lvlOverride w:ilvl="6"/>
    <w:lvlOverride w:ilvl="7"/>
    <w:lvlOverride w:ilvl="8"/>
  </w:num>
  <w:num w:numId="14">
    <w:abstractNumId w:val="2"/>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B6F"/>
    <w:rsid w:val="000130D0"/>
    <w:rsid w:val="000139B5"/>
    <w:rsid w:val="00031DFA"/>
    <w:rsid w:val="00036657"/>
    <w:rsid w:val="00037CE7"/>
    <w:rsid w:val="000412F4"/>
    <w:rsid w:val="00047BF1"/>
    <w:rsid w:val="000523B5"/>
    <w:rsid w:val="00052820"/>
    <w:rsid w:val="00056DE6"/>
    <w:rsid w:val="00062FF6"/>
    <w:rsid w:val="000632AD"/>
    <w:rsid w:val="000658AD"/>
    <w:rsid w:val="00067DA2"/>
    <w:rsid w:val="0007046D"/>
    <w:rsid w:val="00070DC5"/>
    <w:rsid w:val="00081B6F"/>
    <w:rsid w:val="00082205"/>
    <w:rsid w:val="0009398E"/>
    <w:rsid w:val="00094DE9"/>
    <w:rsid w:val="0009580A"/>
    <w:rsid w:val="0009768E"/>
    <w:rsid w:val="000A4686"/>
    <w:rsid w:val="000A7AE9"/>
    <w:rsid w:val="000B4AC6"/>
    <w:rsid w:val="000D1295"/>
    <w:rsid w:val="000D4BCF"/>
    <w:rsid w:val="000D6252"/>
    <w:rsid w:val="000D6A38"/>
    <w:rsid w:val="000E3F0D"/>
    <w:rsid w:val="000F0B3B"/>
    <w:rsid w:val="000F1326"/>
    <w:rsid w:val="000F73C9"/>
    <w:rsid w:val="00103E71"/>
    <w:rsid w:val="00106455"/>
    <w:rsid w:val="001076E0"/>
    <w:rsid w:val="001118F3"/>
    <w:rsid w:val="0012079B"/>
    <w:rsid w:val="00120842"/>
    <w:rsid w:val="00121EF3"/>
    <w:rsid w:val="00124ED1"/>
    <w:rsid w:val="0012510C"/>
    <w:rsid w:val="00130659"/>
    <w:rsid w:val="00131506"/>
    <w:rsid w:val="00134D79"/>
    <w:rsid w:val="00136690"/>
    <w:rsid w:val="00136C37"/>
    <w:rsid w:val="001444FE"/>
    <w:rsid w:val="00147EF9"/>
    <w:rsid w:val="00153973"/>
    <w:rsid w:val="00155388"/>
    <w:rsid w:val="00155776"/>
    <w:rsid w:val="00155DA1"/>
    <w:rsid w:val="00157FD7"/>
    <w:rsid w:val="00164016"/>
    <w:rsid w:val="00164DAA"/>
    <w:rsid w:val="00186597"/>
    <w:rsid w:val="00195C77"/>
    <w:rsid w:val="001A0348"/>
    <w:rsid w:val="001A279F"/>
    <w:rsid w:val="001B0FC8"/>
    <w:rsid w:val="001C2E67"/>
    <w:rsid w:val="001C4823"/>
    <w:rsid w:val="001C62A8"/>
    <w:rsid w:val="001D394B"/>
    <w:rsid w:val="001D57B9"/>
    <w:rsid w:val="001D79CE"/>
    <w:rsid w:val="001F3D2B"/>
    <w:rsid w:val="001F423D"/>
    <w:rsid w:val="002004B6"/>
    <w:rsid w:val="0021573C"/>
    <w:rsid w:val="00222BD3"/>
    <w:rsid w:val="0022373B"/>
    <w:rsid w:val="00226878"/>
    <w:rsid w:val="00231884"/>
    <w:rsid w:val="002323C3"/>
    <w:rsid w:val="002334D6"/>
    <w:rsid w:val="002542C7"/>
    <w:rsid w:val="00257494"/>
    <w:rsid w:val="002658F1"/>
    <w:rsid w:val="002666DB"/>
    <w:rsid w:val="00267CF0"/>
    <w:rsid w:val="002728D6"/>
    <w:rsid w:val="002735DF"/>
    <w:rsid w:val="00274179"/>
    <w:rsid w:val="002752FF"/>
    <w:rsid w:val="002760E4"/>
    <w:rsid w:val="00281BD2"/>
    <w:rsid w:val="002835E3"/>
    <w:rsid w:val="00297D93"/>
    <w:rsid w:val="002A4546"/>
    <w:rsid w:val="002A4C50"/>
    <w:rsid w:val="002A7F2B"/>
    <w:rsid w:val="002B13F1"/>
    <w:rsid w:val="002B18ED"/>
    <w:rsid w:val="002B20C1"/>
    <w:rsid w:val="002B2258"/>
    <w:rsid w:val="002D036E"/>
    <w:rsid w:val="002D13D6"/>
    <w:rsid w:val="002D32A1"/>
    <w:rsid w:val="002E03C6"/>
    <w:rsid w:val="002E070C"/>
    <w:rsid w:val="003018B9"/>
    <w:rsid w:val="00303423"/>
    <w:rsid w:val="00303DBF"/>
    <w:rsid w:val="00311014"/>
    <w:rsid w:val="003116E5"/>
    <w:rsid w:val="00313CE9"/>
    <w:rsid w:val="00316AE0"/>
    <w:rsid w:val="003177E4"/>
    <w:rsid w:val="003213CC"/>
    <w:rsid w:val="00323C41"/>
    <w:rsid w:val="00332A4B"/>
    <w:rsid w:val="00333094"/>
    <w:rsid w:val="00336F2C"/>
    <w:rsid w:val="00354CC0"/>
    <w:rsid w:val="00355FFD"/>
    <w:rsid w:val="00361FA7"/>
    <w:rsid w:val="00363300"/>
    <w:rsid w:val="003807A4"/>
    <w:rsid w:val="00381F6E"/>
    <w:rsid w:val="00385E91"/>
    <w:rsid w:val="003863FF"/>
    <w:rsid w:val="003A0746"/>
    <w:rsid w:val="003A423F"/>
    <w:rsid w:val="003A65E9"/>
    <w:rsid w:val="003A7B9E"/>
    <w:rsid w:val="003B4B8A"/>
    <w:rsid w:val="003B5D37"/>
    <w:rsid w:val="003B6D7D"/>
    <w:rsid w:val="003C46E2"/>
    <w:rsid w:val="003E4C29"/>
    <w:rsid w:val="003E5938"/>
    <w:rsid w:val="003F7640"/>
    <w:rsid w:val="00414B7A"/>
    <w:rsid w:val="00424041"/>
    <w:rsid w:val="00431843"/>
    <w:rsid w:val="00432DBA"/>
    <w:rsid w:val="00441195"/>
    <w:rsid w:val="00443E0F"/>
    <w:rsid w:val="00450B0D"/>
    <w:rsid w:val="00450ED7"/>
    <w:rsid w:val="0045572B"/>
    <w:rsid w:val="00465E64"/>
    <w:rsid w:val="00467E0C"/>
    <w:rsid w:val="00472FDD"/>
    <w:rsid w:val="00475FB5"/>
    <w:rsid w:val="0047662E"/>
    <w:rsid w:val="00482C5B"/>
    <w:rsid w:val="0049015D"/>
    <w:rsid w:val="00494A2F"/>
    <w:rsid w:val="00496FB7"/>
    <w:rsid w:val="004A2378"/>
    <w:rsid w:val="004A5217"/>
    <w:rsid w:val="004B11A3"/>
    <w:rsid w:val="004D486C"/>
    <w:rsid w:val="004E524E"/>
    <w:rsid w:val="004F2D8B"/>
    <w:rsid w:val="004F307C"/>
    <w:rsid w:val="00504497"/>
    <w:rsid w:val="00504549"/>
    <w:rsid w:val="005160D6"/>
    <w:rsid w:val="00516564"/>
    <w:rsid w:val="00517090"/>
    <w:rsid w:val="00521D98"/>
    <w:rsid w:val="00523FFA"/>
    <w:rsid w:val="00524A71"/>
    <w:rsid w:val="00531FE0"/>
    <w:rsid w:val="00533608"/>
    <w:rsid w:val="00536202"/>
    <w:rsid w:val="00536C74"/>
    <w:rsid w:val="00545175"/>
    <w:rsid w:val="0054558E"/>
    <w:rsid w:val="00554DC0"/>
    <w:rsid w:val="005579CE"/>
    <w:rsid w:val="005608E6"/>
    <w:rsid w:val="00560F74"/>
    <w:rsid w:val="00561DCA"/>
    <w:rsid w:val="00563452"/>
    <w:rsid w:val="00564D6B"/>
    <w:rsid w:val="005673C9"/>
    <w:rsid w:val="005675F3"/>
    <w:rsid w:val="00570462"/>
    <w:rsid w:val="00577FCF"/>
    <w:rsid w:val="00580DE7"/>
    <w:rsid w:val="005A0AA9"/>
    <w:rsid w:val="005A286C"/>
    <w:rsid w:val="005A2B37"/>
    <w:rsid w:val="005A2B9E"/>
    <w:rsid w:val="005A4C02"/>
    <w:rsid w:val="005A7766"/>
    <w:rsid w:val="005B1197"/>
    <w:rsid w:val="005B3177"/>
    <w:rsid w:val="005B75F3"/>
    <w:rsid w:val="005C45A9"/>
    <w:rsid w:val="005D314E"/>
    <w:rsid w:val="005D5D24"/>
    <w:rsid w:val="005D6608"/>
    <w:rsid w:val="005E3294"/>
    <w:rsid w:val="005F6223"/>
    <w:rsid w:val="00600CED"/>
    <w:rsid w:val="00604869"/>
    <w:rsid w:val="00612DB7"/>
    <w:rsid w:val="006144FB"/>
    <w:rsid w:val="00617765"/>
    <w:rsid w:val="00625CBE"/>
    <w:rsid w:val="00626FC0"/>
    <w:rsid w:val="006317D3"/>
    <w:rsid w:val="006324E5"/>
    <w:rsid w:val="00641040"/>
    <w:rsid w:val="00642904"/>
    <w:rsid w:val="00644453"/>
    <w:rsid w:val="00645000"/>
    <w:rsid w:val="0064725A"/>
    <w:rsid w:val="006472CD"/>
    <w:rsid w:val="00647D5D"/>
    <w:rsid w:val="006519A3"/>
    <w:rsid w:val="0065273F"/>
    <w:rsid w:val="006634E8"/>
    <w:rsid w:val="00664492"/>
    <w:rsid w:val="00665D6B"/>
    <w:rsid w:val="00673AFD"/>
    <w:rsid w:val="006762FA"/>
    <w:rsid w:val="00683F8B"/>
    <w:rsid w:val="00685C85"/>
    <w:rsid w:val="006932CB"/>
    <w:rsid w:val="006942B7"/>
    <w:rsid w:val="006A53EC"/>
    <w:rsid w:val="006B034B"/>
    <w:rsid w:val="006B74C8"/>
    <w:rsid w:val="006C14CC"/>
    <w:rsid w:val="006C32D3"/>
    <w:rsid w:val="006D06DD"/>
    <w:rsid w:val="006D1543"/>
    <w:rsid w:val="006D55C4"/>
    <w:rsid w:val="006E6505"/>
    <w:rsid w:val="006F4E86"/>
    <w:rsid w:val="00701EA8"/>
    <w:rsid w:val="00702F11"/>
    <w:rsid w:val="0070439A"/>
    <w:rsid w:val="00717005"/>
    <w:rsid w:val="007224F6"/>
    <w:rsid w:val="00725067"/>
    <w:rsid w:val="00726064"/>
    <w:rsid w:val="00737D57"/>
    <w:rsid w:val="00737E62"/>
    <w:rsid w:val="00740F6F"/>
    <w:rsid w:val="00743838"/>
    <w:rsid w:val="00744387"/>
    <w:rsid w:val="007444E1"/>
    <w:rsid w:val="0074797C"/>
    <w:rsid w:val="00762E37"/>
    <w:rsid w:val="00764323"/>
    <w:rsid w:val="007704BD"/>
    <w:rsid w:val="00781DC1"/>
    <w:rsid w:val="00784A1F"/>
    <w:rsid w:val="00787C13"/>
    <w:rsid w:val="00791F5E"/>
    <w:rsid w:val="00792725"/>
    <w:rsid w:val="00792C99"/>
    <w:rsid w:val="007A1D15"/>
    <w:rsid w:val="007C3D21"/>
    <w:rsid w:val="007D026D"/>
    <w:rsid w:val="007D08CF"/>
    <w:rsid w:val="007D13DB"/>
    <w:rsid w:val="007D436E"/>
    <w:rsid w:val="007D52CF"/>
    <w:rsid w:val="007F0F7F"/>
    <w:rsid w:val="007F2E2B"/>
    <w:rsid w:val="007F5A0C"/>
    <w:rsid w:val="007F6C65"/>
    <w:rsid w:val="008023A6"/>
    <w:rsid w:val="008034D6"/>
    <w:rsid w:val="0080521F"/>
    <w:rsid w:val="00806437"/>
    <w:rsid w:val="00807223"/>
    <w:rsid w:val="00812C5D"/>
    <w:rsid w:val="00813021"/>
    <w:rsid w:val="00815392"/>
    <w:rsid w:val="0082117D"/>
    <w:rsid w:val="0082484D"/>
    <w:rsid w:val="00824E74"/>
    <w:rsid w:val="00831CB4"/>
    <w:rsid w:val="008321A3"/>
    <w:rsid w:val="00832AAE"/>
    <w:rsid w:val="00834E6A"/>
    <w:rsid w:val="008366CF"/>
    <w:rsid w:val="0083754F"/>
    <w:rsid w:val="00841636"/>
    <w:rsid w:val="00862B67"/>
    <w:rsid w:val="008667C3"/>
    <w:rsid w:val="00870AFA"/>
    <w:rsid w:val="00871B93"/>
    <w:rsid w:val="0088076B"/>
    <w:rsid w:val="008844A2"/>
    <w:rsid w:val="00890669"/>
    <w:rsid w:val="008A18A2"/>
    <w:rsid w:val="008A3792"/>
    <w:rsid w:val="008A4D31"/>
    <w:rsid w:val="008A6DE2"/>
    <w:rsid w:val="008B42CF"/>
    <w:rsid w:val="008C4E53"/>
    <w:rsid w:val="008C75B7"/>
    <w:rsid w:val="008D56BD"/>
    <w:rsid w:val="008D7983"/>
    <w:rsid w:val="008E2474"/>
    <w:rsid w:val="008F3A15"/>
    <w:rsid w:val="008F5148"/>
    <w:rsid w:val="008F54FB"/>
    <w:rsid w:val="008F56D7"/>
    <w:rsid w:val="00902740"/>
    <w:rsid w:val="0090637B"/>
    <w:rsid w:val="00921EC2"/>
    <w:rsid w:val="00927540"/>
    <w:rsid w:val="00935426"/>
    <w:rsid w:val="009368F5"/>
    <w:rsid w:val="00941CE6"/>
    <w:rsid w:val="00943BA9"/>
    <w:rsid w:val="00951ECD"/>
    <w:rsid w:val="00957080"/>
    <w:rsid w:val="009572AB"/>
    <w:rsid w:val="0096141D"/>
    <w:rsid w:val="00961D46"/>
    <w:rsid w:val="009650AD"/>
    <w:rsid w:val="00986853"/>
    <w:rsid w:val="00991FBA"/>
    <w:rsid w:val="00996337"/>
    <w:rsid w:val="009B2542"/>
    <w:rsid w:val="009B4865"/>
    <w:rsid w:val="009B56E8"/>
    <w:rsid w:val="009B72E8"/>
    <w:rsid w:val="009C3F8B"/>
    <w:rsid w:val="009D017B"/>
    <w:rsid w:val="009D2685"/>
    <w:rsid w:val="009D43B7"/>
    <w:rsid w:val="009E025D"/>
    <w:rsid w:val="009E38EF"/>
    <w:rsid w:val="009E46E6"/>
    <w:rsid w:val="009E7E15"/>
    <w:rsid w:val="009F052F"/>
    <w:rsid w:val="009F105F"/>
    <w:rsid w:val="009F44F5"/>
    <w:rsid w:val="009F6E0F"/>
    <w:rsid w:val="009F7889"/>
    <w:rsid w:val="00A033C7"/>
    <w:rsid w:val="00A07ECC"/>
    <w:rsid w:val="00A10D8E"/>
    <w:rsid w:val="00A218AB"/>
    <w:rsid w:val="00A22761"/>
    <w:rsid w:val="00A265F3"/>
    <w:rsid w:val="00A31C7E"/>
    <w:rsid w:val="00A4104E"/>
    <w:rsid w:val="00A427AF"/>
    <w:rsid w:val="00A4316F"/>
    <w:rsid w:val="00A43E58"/>
    <w:rsid w:val="00A46DBE"/>
    <w:rsid w:val="00A55A84"/>
    <w:rsid w:val="00A75443"/>
    <w:rsid w:val="00A768BF"/>
    <w:rsid w:val="00A8797F"/>
    <w:rsid w:val="00AB18EB"/>
    <w:rsid w:val="00AB352C"/>
    <w:rsid w:val="00AB457C"/>
    <w:rsid w:val="00AB4D6D"/>
    <w:rsid w:val="00AB77F0"/>
    <w:rsid w:val="00AB7B88"/>
    <w:rsid w:val="00AC122F"/>
    <w:rsid w:val="00AC1CA8"/>
    <w:rsid w:val="00AC5DB1"/>
    <w:rsid w:val="00AD6FA0"/>
    <w:rsid w:val="00AE7B84"/>
    <w:rsid w:val="00B00C0E"/>
    <w:rsid w:val="00B025B9"/>
    <w:rsid w:val="00B05188"/>
    <w:rsid w:val="00B102A4"/>
    <w:rsid w:val="00B10576"/>
    <w:rsid w:val="00B11168"/>
    <w:rsid w:val="00B1507B"/>
    <w:rsid w:val="00B15F8D"/>
    <w:rsid w:val="00B177C6"/>
    <w:rsid w:val="00B17880"/>
    <w:rsid w:val="00B25141"/>
    <w:rsid w:val="00B401F6"/>
    <w:rsid w:val="00B47B0B"/>
    <w:rsid w:val="00B530B2"/>
    <w:rsid w:val="00B5565E"/>
    <w:rsid w:val="00B57EB3"/>
    <w:rsid w:val="00B57FDF"/>
    <w:rsid w:val="00B662F8"/>
    <w:rsid w:val="00B70C52"/>
    <w:rsid w:val="00B71C4C"/>
    <w:rsid w:val="00B72E4F"/>
    <w:rsid w:val="00B73663"/>
    <w:rsid w:val="00B762E9"/>
    <w:rsid w:val="00B81210"/>
    <w:rsid w:val="00B84DC9"/>
    <w:rsid w:val="00BA1614"/>
    <w:rsid w:val="00BA249A"/>
    <w:rsid w:val="00BA6E51"/>
    <w:rsid w:val="00BB63DF"/>
    <w:rsid w:val="00BB7BFA"/>
    <w:rsid w:val="00BD4B50"/>
    <w:rsid w:val="00BE1BB8"/>
    <w:rsid w:val="00BE295B"/>
    <w:rsid w:val="00BE63F5"/>
    <w:rsid w:val="00BF1C84"/>
    <w:rsid w:val="00C01F2E"/>
    <w:rsid w:val="00C03F36"/>
    <w:rsid w:val="00C10D4B"/>
    <w:rsid w:val="00C11659"/>
    <w:rsid w:val="00C144F5"/>
    <w:rsid w:val="00C164BE"/>
    <w:rsid w:val="00C30274"/>
    <w:rsid w:val="00C30694"/>
    <w:rsid w:val="00C35DC5"/>
    <w:rsid w:val="00C56DCB"/>
    <w:rsid w:val="00C621E0"/>
    <w:rsid w:val="00C63A9F"/>
    <w:rsid w:val="00C707CB"/>
    <w:rsid w:val="00C82438"/>
    <w:rsid w:val="00C828CB"/>
    <w:rsid w:val="00C83F7A"/>
    <w:rsid w:val="00C850C1"/>
    <w:rsid w:val="00C87CB5"/>
    <w:rsid w:val="00C9104D"/>
    <w:rsid w:val="00C937E8"/>
    <w:rsid w:val="00C95491"/>
    <w:rsid w:val="00C97E16"/>
    <w:rsid w:val="00CA1A5E"/>
    <w:rsid w:val="00CA4976"/>
    <w:rsid w:val="00CA4BFF"/>
    <w:rsid w:val="00CA6D52"/>
    <w:rsid w:val="00CA7A68"/>
    <w:rsid w:val="00CB0E1C"/>
    <w:rsid w:val="00CB4FE4"/>
    <w:rsid w:val="00CB6E57"/>
    <w:rsid w:val="00CC249E"/>
    <w:rsid w:val="00CC491F"/>
    <w:rsid w:val="00CC524C"/>
    <w:rsid w:val="00CC6899"/>
    <w:rsid w:val="00CD24D5"/>
    <w:rsid w:val="00CE04CD"/>
    <w:rsid w:val="00CE1CE4"/>
    <w:rsid w:val="00CE6538"/>
    <w:rsid w:val="00D03066"/>
    <w:rsid w:val="00D05321"/>
    <w:rsid w:val="00D0695A"/>
    <w:rsid w:val="00D1403B"/>
    <w:rsid w:val="00D15655"/>
    <w:rsid w:val="00D21B11"/>
    <w:rsid w:val="00D247A4"/>
    <w:rsid w:val="00D24827"/>
    <w:rsid w:val="00D26BA3"/>
    <w:rsid w:val="00D33A42"/>
    <w:rsid w:val="00D346B0"/>
    <w:rsid w:val="00D5073D"/>
    <w:rsid w:val="00D535FD"/>
    <w:rsid w:val="00D5453F"/>
    <w:rsid w:val="00D57E41"/>
    <w:rsid w:val="00D6044F"/>
    <w:rsid w:val="00D604F2"/>
    <w:rsid w:val="00D60D36"/>
    <w:rsid w:val="00D62F9C"/>
    <w:rsid w:val="00D77A7D"/>
    <w:rsid w:val="00D82E5E"/>
    <w:rsid w:val="00DA2131"/>
    <w:rsid w:val="00DB1C49"/>
    <w:rsid w:val="00DB3F1A"/>
    <w:rsid w:val="00DB7362"/>
    <w:rsid w:val="00DC1658"/>
    <w:rsid w:val="00DC1D35"/>
    <w:rsid w:val="00DC7F54"/>
    <w:rsid w:val="00DE030D"/>
    <w:rsid w:val="00DE1C98"/>
    <w:rsid w:val="00DE274E"/>
    <w:rsid w:val="00DE735C"/>
    <w:rsid w:val="00DF1D13"/>
    <w:rsid w:val="00DF3114"/>
    <w:rsid w:val="00DF3619"/>
    <w:rsid w:val="00DF4958"/>
    <w:rsid w:val="00E02D4E"/>
    <w:rsid w:val="00E0622A"/>
    <w:rsid w:val="00E171A6"/>
    <w:rsid w:val="00E215FB"/>
    <w:rsid w:val="00E22AAD"/>
    <w:rsid w:val="00E23678"/>
    <w:rsid w:val="00E26830"/>
    <w:rsid w:val="00E26E3E"/>
    <w:rsid w:val="00E3259F"/>
    <w:rsid w:val="00E32645"/>
    <w:rsid w:val="00E35E13"/>
    <w:rsid w:val="00E45A57"/>
    <w:rsid w:val="00E523F3"/>
    <w:rsid w:val="00E5328F"/>
    <w:rsid w:val="00E56AD6"/>
    <w:rsid w:val="00E60B5F"/>
    <w:rsid w:val="00E61750"/>
    <w:rsid w:val="00E73796"/>
    <w:rsid w:val="00E74E85"/>
    <w:rsid w:val="00E76D2F"/>
    <w:rsid w:val="00E770FD"/>
    <w:rsid w:val="00E80C39"/>
    <w:rsid w:val="00E851E7"/>
    <w:rsid w:val="00E908F8"/>
    <w:rsid w:val="00E95AB1"/>
    <w:rsid w:val="00E967C4"/>
    <w:rsid w:val="00E972EA"/>
    <w:rsid w:val="00EA0703"/>
    <w:rsid w:val="00EA29A3"/>
    <w:rsid w:val="00EA6AED"/>
    <w:rsid w:val="00EB3146"/>
    <w:rsid w:val="00EB79EE"/>
    <w:rsid w:val="00EC0F25"/>
    <w:rsid w:val="00ED7B85"/>
    <w:rsid w:val="00EF3819"/>
    <w:rsid w:val="00F030A8"/>
    <w:rsid w:val="00F12878"/>
    <w:rsid w:val="00F21A06"/>
    <w:rsid w:val="00F21B40"/>
    <w:rsid w:val="00F25841"/>
    <w:rsid w:val="00F27375"/>
    <w:rsid w:val="00F3529C"/>
    <w:rsid w:val="00F36946"/>
    <w:rsid w:val="00F42CF4"/>
    <w:rsid w:val="00F5272E"/>
    <w:rsid w:val="00F52D92"/>
    <w:rsid w:val="00F530C2"/>
    <w:rsid w:val="00F62089"/>
    <w:rsid w:val="00F64B6F"/>
    <w:rsid w:val="00F72A07"/>
    <w:rsid w:val="00F9298B"/>
    <w:rsid w:val="00F93DCB"/>
    <w:rsid w:val="00F94F1C"/>
    <w:rsid w:val="00FA7054"/>
    <w:rsid w:val="00FB00C8"/>
    <w:rsid w:val="00FC3AE6"/>
    <w:rsid w:val="00FD3158"/>
    <w:rsid w:val="00FD3474"/>
    <w:rsid w:val="00FD3F32"/>
    <w:rsid w:val="00FD56B5"/>
    <w:rsid w:val="00FE1409"/>
    <w:rsid w:val="00FE5FDA"/>
    <w:rsid w:val="00FE6EAE"/>
    <w:rsid w:val="00FF0A59"/>
    <w:rsid w:val="00FF62B6"/>
    <w:rsid w:val="00FF7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6FA02"/>
  <w15:chartTrackingRefBased/>
  <w15:docId w15:val="{9ED179CA-8114-4BA0-9CD5-881145446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AE0"/>
    <w:pPr>
      <w:spacing w:after="0" w:line="240" w:lineRule="auto"/>
      <w:jc w:val="both"/>
    </w:pPr>
    <w:rPr>
      <w:rFonts w:ascii="Times New Roman" w:eastAsia="Times New Roman" w:hAnsi="Times New Roman" w:cs="Times New Roman"/>
      <w:sz w:val="28"/>
      <w:szCs w:val="28"/>
      <w:lang w:val="uk-UA" w:eastAsia="ru-RU"/>
    </w:rPr>
  </w:style>
  <w:style w:type="paragraph" w:styleId="2">
    <w:name w:val="heading 2"/>
    <w:basedOn w:val="a"/>
    <w:next w:val="a"/>
    <w:link w:val="20"/>
    <w:qFormat/>
    <w:rsid w:val="00F64B6F"/>
    <w:pPr>
      <w:keepNext/>
      <w:outlineLvl w:val="1"/>
    </w:pPr>
    <w:rPr>
      <w:b/>
    </w:rPr>
  </w:style>
  <w:style w:type="paragraph" w:styleId="3">
    <w:name w:val="heading 3"/>
    <w:basedOn w:val="a"/>
    <w:next w:val="a"/>
    <w:link w:val="30"/>
    <w:uiPriority w:val="9"/>
    <w:semiHidden/>
    <w:unhideWhenUsed/>
    <w:qFormat/>
    <w:rsid w:val="00443E0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64B6F"/>
    <w:rPr>
      <w:rFonts w:ascii="Times New Roman" w:eastAsia="Times New Roman" w:hAnsi="Times New Roman" w:cs="Times New Roman"/>
      <w:b/>
      <w:sz w:val="28"/>
      <w:szCs w:val="28"/>
      <w:lang w:val="uk-UA" w:eastAsia="ru-RU"/>
    </w:rPr>
  </w:style>
  <w:style w:type="paragraph" w:styleId="a3">
    <w:name w:val="Body Text"/>
    <w:basedOn w:val="a"/>
    <w:link w:val="a4"/>
    <w:rsid w:val="00F64B6F"/>
  </w:style>
  <w:style w:type="character" w:customStyle="1" w:styleId="a4">
    <w:name w:val="Основной текст Знак"/>
    <w:basedOn w:val="a0"/>
    <w:link w:val="a3"/>
    <w:rsid w:val="00F64B6F"/>
    <w:rPr>
      <w:rFonts w:ascii="Times New Roman" w:eastAsia="Times New Roman" w:hAnsi="Times New Roman" w:cs="Times New Roman"/>
      <w:sz w:val="28"/>
      <w:szCs w:val="28"/>
      <w:lang w:val="uk-UA" w:eastAsia="ru-RU"/>
    </w:rPr>
  </w:style>
  <w:style w:type="paragraph" w:styleId="31">
    <w:name w:val="Body Text 3"/>
    <w:basedOn w:val="a"/>
    <w:link w:val="32"/>
    <w:rsid w:val="00F64B6F"/>
  </w:style>
  <w:style w:type="character" w:customStyle="1" w:styleId="32">
    <w:name w:val="Основной текст 3 Знак"/>
    <w:basedOn w:val="a0"/>
    <w:link w:val="31"/>
    <w:rsid w:val="00F64B6F"/>
    <w:rPr>
      <w:rFonts w:ascii="Times New Roman" w:eastAsia="Times New Roman" w:hAnsi="Times New Roman" w:cs="Times New Roman"/>
      <w:sz w:val="28"/>
      <w:szCs w:val="28"/>
      <w:lang w:val="uk-UA" w:eastAsia="ru-RU"/>
    </w:rPr>
  </w:style>
  <w:style w:type="paragraph" w:styleId="a5">
    <w:name w:val="Body Text Indent"/>
    <w:basedOn w:val="a"/>
    <w:link w:val="a6"/>
    <w:rsid w:val="00F64B6F"/>
    <w:pPr>
      <w:spacing w:after="120"/>
      <w:ind w:left="283"/>
    </w:pPr>
  </w:style>
  <w:style w:type="character" w:customStyle="1" w:styleId="a6">
    <w:name w:val="Основной текст с отступом Знак"/>
    <w:basedOn w:val="a0"/>
    <w:link w:val="a5"/>
    <w:rsid w:val="00F64B6F"/>
    <w:rPr>
      <w:rFonts w:ascii="Times New Roman" w:eastAsia="Times New Roman" w:hAnsi="Times New Roman" w:cs="Times New Roman"/>
      <w:sz w:val="28"/>
      <w:szCs w:val="28"/>
      <w:lang w:val="uk-UA" w:eastAsia="ru-RU"/>
    </w:rPr>
  </w:style>
  <w:style w:type="paragraph" w:styleId="a7">
    <w:name w:val="caption"/>
    <w:basedOn w:val="a"/>
    <w:next w:val="a"/>
    <w:qFormat/>
    <w:rsid w:val="00F64B6F"/>
    <w:pPr>
      <w:jc w:val="right"/>
    </w:pPr>
    <w:rPr>
      <w:b/>
      <w:sz w:val="32"/>
      <w:szCs w:val="20"/>
    </w:rPr>
  </w:style>
  <w:style w:type="character" w:customStyle="1" w:styleId="a8">
    <w:name w:val="Основной текст_"/>
    <w:qFormat/>
    <w:locked/>
    <w:rsid w:val="00F64B6F"/>
    <w:rPr>
      <w:spacing w:val="2"/>
      <w:sz w:val="25"/>
      <w:szCs w:val="25"/>
      <w:lang w:bidi="ar-SA"/>
    </w:rPr>
  </w:style>
  <w:style w:type="paragraph" w:styleId="a9">
    <w:name w:val="List Paragraph"/>
    <w:basedOn w:val="a"/>
    <w:uiPriority w:val="1"/>
    <w:qFormat/>
    <w:rsid w:val="00F64B6F"/>
    <w:pPr>
      <w:ind w:left="720"/>
      <w:contextualSpacing/>
    </w:pPr>
  </w:style>
  <w:style w:type="paragraph" w:styleId="aa">
    <w:name w:val="Balloon Text"/>
    <w:basedOn w:val="a"/>
    <w:link w:val="ab"/>
    <w:uiPriority w:val="99"/>
    <w:semiHidden/>
    <w:unhideWhenUsed/>
    <w:rsid w:val="00274179"/>
    <w:rPr>
      <w:rFonts w:ascii="Segoe UI" w:hAnsi="Segoe UI" w:cs="Segoe UI"/>
      <w:sz w:val="18"/>
      <w:szCs w:val="18"/>
    </w:rPr>
  </w:style>
  <w:style w:type="character" w:customStyle="1" w:styleId="ab">
    <w:name w:val="Текст выноски Знак"/>
    <w:basedOn w:val="a0"/>
    <w:link w:val="aa"/>
    <w:uiPriority w:val="99"/>
    <w:semiHidden/>
    <w:rsid w:val="00274179"/>
    <w:rPr>
      <w:rFonts w:ascii="Segoe UI" w:eastAsia="Times New Roman" w:hAnsi="Segoe UI" w:cs="Segoe UI"/>
      <w:sz w:val="18"/>
      <w:szCs w:val="18"/>
      <w:lang w:val="uk-UA" w:eastAsia="ru-RU"/>
    </w:rPr>
  </w:style>
  <w:style w:type="character" w:customStyle="1" w:styleId="spanrvts0">
    <w:name w:val="span_rvts0"/>
    <w:basedOn w:val="a0"/>
    <w:rsid w:val="00081B6F"/>
    <w:rPr>
      <w:rFonts w:ascii="Times New Roman" w:eastAsia="Times New Roman" w:hAnsi="Times New Roman" w:cs="Times New Roman"/>
      <w:b w:val="0"/>
      <w:bCs w:val="0"/>
      <w:i w:val="0"/>
      <w:iCs w:val="0"/>
      <w:sz w:val="24"/>
      <w:szCs w:val="24"/>
    </w:rPr>
  </w:style>
  <w:style w:type="character" w:customStyle="1" w:styleId="arvts96">
    <w:name w:val="a_rvts96"/>
    <w:basedOn w:val="a0"/>
    <w:rsid w:val="00081B6F"/>
    <w:rPr>
      <w:rFonts w:ascii="Times New Roman" w:eastAsia="Times New Roman" w:hAnsi="Times New Roman" w:cs="Times New Roman"/>
      <w:b w:val="0"/>
      <w:bCs w:val="0"/>
      <w:i w:val="0"/>
      <w:iCs w:val="0"/>
      <w:color w:val="000099"/>
      <w:sz w:val="24"/>
      <w:szCs w:val="24"/>
    </w:rPr>
  </w:style>
  <w:style w:type="character" w:customStyle="1" w:styleId="spanrvts37">
    <w:name w:val="span_rvts37"/>
    <w:basedOn w:val="a0"/>
    <w:rsid w:val="00081B6F"/>
    <w:rPr>
      <w:rFonts w:ascii="Times New Roman" w:eastAsia="Times New Roman" w:hAnsi="Times New Roman" w:cs="Times New Roman"/>
      <w:b/>
      <w:bCs/>
      <w:i w:val="0"/>
      <w:iCs w:val="0"/>
      <w:sz w:val="24"/>
      <w:szCs w:val="24"/>
      <w:vertAlign w:val="superscript"/>
    </w:rPr>
  </w:style>
  <w:style w:type="paragraph" w:customStyle="1" w:styleId="rvps2">
    <w:name w:val="rvps2"/>
    <w:basedOn w:val="a"/>
    <w:rsid w:val="00081B6F"/>
    <w:pPr>
      <w:ind w:firstLine="450"/>
    </w:pPr>
    <w:rPr>
      <w:sz w:val="24"/>
      <w:szCs w:val="24"/>
      <w:lang w:val="en-US" w:eastAsia="en-US"/>
    </w:rPr>
  </w:style>
  <w:style w:type="character" w:customStyle="1" w:styleId="arvts99">
    <w:name w:val="a_rvts99"/>
    <w:basedOn w:val="a0"/>
    <w:rsid w:val="00081B6F"/>
    <w:rPr>
      <w:rFonts w:ascii="Times New Roman" w:eastAsia="Times New Roman" w:hAnsi="Times New Roman" w:cs="Times New Roman"/>
      <w:b w:val="0"/>
      <w:bCs w:val="0"/>
      <w:i w:val="0"/>
      <w:iCs w:val="0"/>
      <w:color w:val="006600"/>
      <w:sz w:val="24"/>
      <w:szCs w:val="24"/>
    </w:rPr>
  </w:style>
  <w:style w:type="character" w:customStyle="1" w:styleId="spanrvts23">
    <w:name w:val="span_rvts23"/>
    <w:basedOn w:val="a0"/>
    <w:rsid w:val="00036657"/>
    <w:rPr>
      <w:rFonts w:ascii="Times New Roman" w:eastAsia="Times New Roman" w:hAnsi="Times New Roman" w:cs="Times New Roman"/>
      <w:b/>
      <w:bCs/>
      <w:i w:val="0"/>
      <w:iCs w:val="0"/>
      <w:sz w:val="32"/>
      <w:szCs w:val="32"/>
    </w:rPr>
  </w:style>
  <w:style w:type="paragraph" w:customStyle="1" w:styleId="rvps6">
    <w:name w:val="rvps6"/>
    <w:basedOn w:val="a"/>
    <w:rsid w:val="00036657"/>
    <w:pPr>
      <w:jc w:val="center"/>
    </w:pPr>
    <w:rPr>
      <w:sz w:val="24"/>
      <w:szCs w:val="24"/>
      <w:lang w:val="en-US" w:eastAsia="en-US"/>
    </w:rPr>
  </w:style>
  <w:style w:type="character" w:customStyle="1" w:styleId="arvts117">
    <w:name w:val="a_rvts117"/>
    <w:basedOn w:val="a0"/>
    <w:rsid w:val="002658F1"/>
    <w:rPr>
      <w:rFonts w:ascii="Times New Roman" w:eastAsia="Times New Roman" w:hAnsi="Times New Roman" w:cs="Times New Roman"/>
      <w:b/>
      <w:bCs/>
      <w:i w:val="0"/>
      <w:iCs w:val="0"/>
      <w:color w:val="000099"/>
      <w:sz w:val="24"/>
      <w:szCs w:val="24"/>
      <w:vertAlign w:val="superscript"/>
    </w:rPr>
  </w:style>
  <w:style w:type="paragraph" w:styleId="ac">
    <w:name w:val="header"/>
    <w:basedOn w:val="a"/>
    <w:link w:val="ad"/>
    <w:uiPriority w:val="99"/>
    <w:unhideWhenUsed/>
    <w:rsid w:val="002658F1"/>
    <w:pPr>
      <w:tabs>
        <w:tab w:val="center" w:pos="4677"/>
        <w:tab w:val="right" w:pos="9355"/>
      </w:tabs>
    </w:pPr>
  </w:style>
  <w:style w:type="character" w:customStyle="1" w:styleId="ad">
    <w:name w:val="Верхний колонтитул Знак"/>
    <w:basedOn w:val="a0"/>
    <w:link w:val="ac"/>
    <w:uiPriority w:val="99"/>
    <w:rsid w:val="002658F1"/>
    <w:rPr>
      <w:rFonts w:ascii="Times New Roman" w:eastAsia="Times New Roman" w:hAnsi="Times New Roman" w:cs="Times New Roman"/>
      <w:sz w:val="28"/>
      <w:szCs w:val="28"/>
      <w:lang w:val="uk-UA" w:eastAsia="ru-RU"/>
    </w:rPr>
  </w:style>
  <w:style w:type="paragraph" w:styleId="ae">
    <w:name w:val="footer"/>
    <w:basedOn w:val="a"/>
    <w:link w:val="af"/>
    <w:uiPriority w:val="99"/>
    <w:unhideWhenUsed/>
    <w:rsid w:val="002658F1"/>
    <w:pPr>
      <w:tabs>
        <w:tab w:val="center" w:pos="4677"/>
        <w:tab w:val="right" w:pos="9355"/>
      </w:tabs>
    </w:pPr>
  </w:style>
  <w:style w:type="character" w:customStyle="1" w:styleId="af">
    <w:name w:val="Нижний колонтитул Знак"/>
    <w:basedOn w:val="a0"/>
    <w:link w:val="ae"/>
    <w:uiPriority w:val="99"/>
    <w:rsid w:val="002658F1"/>
    <w:rPr>
      <w:rFonts w:ascii="Times New Roman" w:eastAsia="Times New Roman" w:hAnsi="Times New Roman" w:cs="Times New Roman"/>
      <w:sz w:val="28"/>
      <w:szCs w:val="28"/>
      <w:lang w:val="uk-UA" w:eastAsia="ru-RU"/>
    </w:rPr>
  </w:style>
  <w:style w:type="paragraph" w:customStyle="1" w:styleId="af0">
    <w:name w:val="Знак Знак Знак"/>
    <w:basedOn w:val="a"/>
    <w:rsid w:val="00F52D92"/>
    <w:pPr>
      <w:jc w:val="left"/>
    </w:pPr>
    <w:rPr>
      <w:rFonts w:ascii="Verdana" w:hAnsi="Verdana" w:cs="Verdana"/>
      <w:sz w:val="20"/>
      <w:szCs w:val="20"/>
      <w:lang w:val="en-US" w:eastAsia="en-US"/>
    </w:rPr>
  </w:style>
  <w:style w:type="paragraph" w:customStyle="1" w:styleId="1">
    <w:name w:val="Знак Знак Знак Знак1"/>
    <w:basedOn w:val="a"/>
    <w:rsid w:val="00F52D92"/>
    <w:pPr>
      <w:jc w:val="left"/>
    </w:pPr>
    <w:rPr>
      <w:rFonts w:ascii="Verdana" w:hAnsi="Verdana" w:cs="Verdana"/>
      <w:sz w:val="20"/>
      <w:szCs w:val="20"/>
      <w:lang w:val="en-US" w:eastAsia="en-US"/>
    </w:rPr>
  </w:style>
  <w:style w:type="character" w:customStyle="1" w:styleId="spanrvts46">
    <w:name w:val="span_rvts46"/>
    <w:basedOn w:val="a0"/>
    <w:rsid w:val="00F030A8"/>
    <w:rPr>
      <w:rFonts w:ascii="Times New Roman" w:eastAsia="Times New Roman" w:hAnsi="Times New Roman" w:cs="Times New Roman"/>
      <w:b w:val="0"/>
      <w:bCs w:val="0"/>
      <w:i/>
      <w:iCs/>
      <w:sz w:val="24"/>
      <w:szCs w:val="24"/>
    </w:rPr>
  </w:style>
  <w:style w:type="character" w:customStyle="1" w:styleId="arvts100">
    <w:name w:val="a_rvts100"/>
    <w:basedOn w:val="a0"/>
    <w:rsid w:val="00F030A8"/>
    <w:rPr>
      <w:rFonts w:ascii="Times New Roman" w:eastAsia="Times New Roman" w:hAnsi="Times New Roman" w:cs="Times New Roman"/>
      <w:b w:val="0"/>
      <w:bCs w:val="0"/>
      <w:i/>
      <w:iCs/>
      <w:color w:val="000099"/>
      <w:sz w:val="24"/>
      <w:szCs w:val="24"/>
    </w:rPr>
  </w:style>
  <w:style w:type="character" w:styleId="af1">
    <w:name w:val="Strong"/>
    <w:basedOn w:val="a0"/>
    <w:uiPriority w:val="22"/>
    <w:qFormat/>
    <w:rsid w:val="00B70C52"/>
    <w:rPr>
      <w:b/>
      <w:bCs/>
    </w:rPr>
  </w:style>
  <w:style w:type="character" w:styleId="af2">
    <w:name w:val="Hyperlink"/>
    <w:basedOn w:val="a0"/>
    <w:uiPriority w:val="99"/>
    <w:semiHidden/>
    <w:unhideWhenUsed/>
    <w:rsid w:val="00D57E41"/>
    <w:rPr>
      <w:color w:val="0000FF"/>
      <w:u w:val="single"/>
    </w:rPr>
  </w:style>
  <w:style w:type="character" w:customStyle="1" w:styleId="rvts8">
    <w:name w:val="rvts8"/>
    <w:basedOn w:val="a0"/>
    <w:rsid w:val="00642904"/>
  </w:style>
  <w:style w:type="paragraph" w:customStyle="1" w:styleId="rvps24">
    <w:name w:val="rvps24"/>
    <w:basedOn w:val="a"/>
    <w:rsid w:val="00642904"/>
    <w:pPr>
      <w:spacing w:before="100" w:beforeAutospacing="1" w:after="100" w:afterAutospacing="1"/>
      <w:jc w:val="left"/>
    </w:pPr>
    <w:rPr>
      <w:sz w:val="24"/>
      <w:szCs w:val="24"/>
      <w:lang w:eastAsia="uk-UA"/>
    </w:rPr>
  </w:style>
  <w:style w:type="paragraph" w:customStyle="1" w:styleId="rvps26">
    <w:name w:val="rvps26"/>
    <w:basedOn w:val="a"/>
    <w:rsid w:val="00642904"/>
    <w:pPr>
      <w:spacing w:before="100" w:beforeAutospacing="1" w:after="100" w:afterAutospacing="1"/>
      <w:jc w:val="left"/>
    </w:pPr>
    <w:rPr>
      <w:sz w:val="24"/>
      <w:szCs w:val="24"/>
      <w:lang w:eastAsia="uk-UA"/>
    </w:rPr>
  </w:style>
  <w:style w:type="character" w:customStyle="1" w:styleId="30">
    <w:name w:val="Заголовок 3 Знак"/>
    <w:basedOn w:val="a0"/>
    <w:link w:val="3"/>
    <w:uiPriority w:val="9"/>
    <w:semiHidden/>
    <w:rsid w:val="00443E0F"/>
    <w:rPr>
      <w:rFonts w:asciiTheme="majorHAnsi" w:eastAsiaTheme="majorEastAsia" w:hAnsiTheme="majorHAnsi" w:cstheme="majorBidi"/>
      <w:color w:val="1F4D78" w:themeColor="accent1" w:themeShade="7F"/>
      <w:sz w:val="24"/>
      <w:szCs w:val="24"/>
      <w:lang w:val="uk-UA" w:eastAsia="ru-RU"/>
    </w:rPr>
  </w:style>
  <w:style w:type="table" w:styleId="af3">
    <w:name w:val="Table Grid"/>
    <w:basedOn w:val="a1"/>
    <w:uiPriority w:val="59"/>
    <w:rsid w:val="00443E0F"/>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578153">
      <w:bodyDiv w:val="1"/>
      <w:marLeft w:val="0"/>
      <w:marRight w:val="0"/>
      <w:marTop w:val="0"/>
      <w:marBottom w:val="0"/>
      <w:divBdr>
        <w:top w:val="none" w:sz="0" w:space="0" w:color="auto"/>
        <w:left w:val="none" w:sz="0" w:space="0" w:color="auto"/>
        <w:bottom w:val="none" w:sz="0" w:space="0" w:color="auto"/>
        <w:right w:val="none" w:sz="0" w:space="0" w:color="auto"/>
      </w:divBdr>
    </w:div>
    <w:div w:id="695078277">
      <w:bodyDiv w:val="1"/>
      <w:marLeft w:val="0"/>
      <w:marRight w:val="0"/>
      <w:marTop w:val="0"/>
      <w:marBottom w:val="0"/>
      <w:divBdr>
        <w:top w:val="none" w:sz="0" w:space="0" w:color="auto"/>
        <w:left w:val="none" w:sz="0" w:space="0" w:color="auto"/>
        <w:bottom w:val="none" w:sz="0" w:space="0" w:color="auto"/>
        <w:right w:val="none" w:sz="0" w:space="0" w:color="auto"/>
      </w:divBdr>
    </w:div>
    <w:div w:id="974722185">
      <w:bodyDiv w:val="1"/>
      <w:marLeft w:val="0"/>
      <w:marRight w:val="0"/>
      <w:marTop w:val="0"/>
      <w:marBottom w:val="0"/>
      <w:divBdr>
        <w:top w:val="none" w:sz="0" w:space="0" w:color="auto"/>
        <w:left w:val="none" w:sz="0" w:space="0" w:color="auto"/>
        <w:bottom w:val="none" w:sz="0" w:space="0" w:color="auto"/>
        <w:right w:val="none" w:sz="0" w:space="0" w:color="auto"/>
      </w:divBdr>
    </w:div>
    <w:div w:id="166122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2456-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235AC-A0C3-4BF6-A8AC-E8C0E8B0F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12392</Words>
  <Characters>7065</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Якимович Олена Василівна</cp:lastModifiedBy>
  <cp:revision>3</cp:revision>
  <cp:lastPrinted>2026-01-23T08:47:00Z</cp:lastPrinted>
  <dcterms:created xsi:type="dcterms:W3CDTF">2026-02-17T07:06:00Z</dcterms:created>
  <dcterms:modified xsi:type="dcterms:W3CDTF">2026-02-17T07:07:00Z</dcterms:modified>
</cp:coreProperties>
</file>