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7B" w:rsidRPr="00BD18A7" w:rsidRDefault="00353E7B" w:rsidP="00353E7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D18A7">
        <w:rPr>
          <w:rFonts w:ascii="Times New Roman" w:hAnsi="Times New Roman"/>
          <w:b/>
          <w:sz w:val="32"/>
          <w:szCs w:val="32"/>
          <w:lang w:val="uk-UA"/>
        </w:rPr>
        <w:t xml:space="preserve">Звіт </w:t>
      </w:r>
    </w:p>
    <w:p w:rsidR="00353E7B" w:rsidRPr="00BD18A7" w:rsidRDefault="00353E7B" w:rsidP="00353E7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D18A7">
        <w:rPr>
          <w:rFonts w:ascii="Times New Roman" w:hAnsi="Times New Roman"/>
          <w:b/>
          <w:sz w:val="32"/>
          <w:szCs w:val="32"/>
          <w:lang w:val="uk-UA"/>
        </w:rPr>
        <w:t>про виконання програм</w:t>
      </w:r>
      <w:r w:rsidRPr="00BD18A7">
        <w:rPr>
          <w:rFonts w:ascii="Times New Roman" w:hAnsi="Times New Roman"/>
          <w:b/>
          <w:sz w:val="32"/>
          <w:szCs w:val="32"/>
        </w:rPr>
        <w:t>и</w:t>
      </w:r>
      <w:r w:rsidRPr="00BD18A7">
        <w:rPr>
          <w:rFonts w:ascii="Times New Roman" w:hAnsi="Times New Roman"/>
          <w:b/>
          <w:sz w:val="32"/>
          <w:szCs w:val="32"/>
          <w:lang w:val="uk-UA"/>
        </w:rPr>
        <w:t xml:space="preserve"> управління місцевим боргом</w:t>
      </w:r>
    </w:p>
    <w:p w:rsidR="00353E7B" w:rsidRPr="00BD18A7" w:rsidRDefault="00353E7B" w:rsidP="00353E7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D18A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014F7" w:rsidRPr="00BD18A7">
        <w:rPr>
          <w:rFonts w:ascii="Times New Roman" w:hAnsi="Times New Roman"/>
          <w:b/>
          <w:sz w:val="32"/>
          <w:szCs w:val="32"/>
          <w:lang w:val="uk-UA"/>
        </w:rPr>
        <w:t xml:space="preserve">Сумської міської </w:t>
      </w:r>
      <w:r w:rsidR="00266552" w:rsidRPr="00BD18A7">
        <w:rPr>
          <w:rFonts w:ascii="Times New Roman" w:hAnsi="Times New Roman"/>
          <w:b/>
          <w:sz w:val="32"/>
          <w:szCs w:val="32"/>
          <w:lang w:val="uk-UA"/>
        </w:rPr>
        <w:t xml:space="preserve">об’єднаної </w:t>
      </w:r>
      <w:r w:rsidR="00A014F7" w:rsidRPr="00BD18A7">
        <w:rPr>
          <w:rFonts w:ascii="Times New Roman" w:hAnsi="Times New Roman"/>
          <w:b/>
          <w:sz w:val="32"/>
          <w:szCs w:val="32"/>
          <w:lang w:val="uk-UA"/>
        </w:rPr>
        <w:t>територіальної громади</w:t>
      </w:r>
      <w:r w:rsidR="00AC7D17" w:rsidRPr="00BD18A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D18A7">
        <w:rPr>
          <w:rFonts w:ascii="Times New Roman" w:hAnsi="Times New Roman"/>
          <w:b/>
          <w:sz w:val="32"/>
          <w:szCs w:val="32"/>
          <w:lang w:val="uk-UA"/>
        </w:rPr>
        <w:t>за 20</w:t>
      </w:r>
      <w:r w:rsidR="00A014F7" w:rsidRPr="00BD18A7">
        <w:rPr>
          <w:rFonts w:ascii="Times New Roman" w:hAnsi="Times New Roman"/>
          <w:b/>
          <w:sz w:val="32"/>
          <w:szCs w:val="32"/>
          <w:lang w:val="uk-UA"/>
        </w:rPr>
        <w:t>2</w:t>
      </w:r>
      <w:r w:rsidR="00B1459D" w:rsidRPr="00BD18A7">
        <w:rPr>
          <w:rFonts w:ascii="Times New Roman" w:hAnsi="Times New Roman"/>
          <w:b/>
          <w:sz w:val="32"/>
          <w:szCs w:val="32"/>
          <w:lang w:val="uk-UA"/>
        </w:rPr>
        <w:t>1</w:t>
      </w:r>
      <w:r w:rsidRPr="00BD18A7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353E7B" w:rsidRPr="00BD18A7" w:rsidRDefault="00353E7B" w:rsidP="00353E7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3E7B" w:rsidRPr="00BD18A7" w:rsidRDefault="007E1F61" w:rsidP="0024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Звіт про виконання п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рограми управління місцевим боргом </w:t>
      </w:r>
      <w:r w:rsidR="00A014F7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Сумської міської </w:t>
      </w:r>
      <w:r w:rsidR="009B5FC2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об’єднаної </w:t>
      </w:r>
      <w:r w:rsidR="00A014F7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територіальної громади</w:t>
      </w:r>
      <w:r w:rsidR="00AC7D17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20</w:t>
      </w:r>
      <w:r w:rsidR="00213C0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21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рік, що затверджена наказом </w:t>
      </w:r>
      <w:r w:rsidR="00B1459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заступника 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директора </w:t>
      </w:r>
      <w:r w:rsidR="00A014F7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епартаменту фінансів, економіки та інвестицій Сумської міської ради від </w:t>
      </w:r>
      <w:r w:rsidR="00A014F7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22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A29E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січня 20</w:t>
      </w:r>
      <w:r w:rsidR="00A014F7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1459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B1459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підготовлено на виконання вимог постанови Кабінету Міністрів України </w:t>
      </w:r>
      <w:r w:rsidR="00DC3C9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01 серпня 2012 року №</w:t>
      </w:r>
      <w:r w:rsidR="000E4711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C3C9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815 </w:t>
      </w:r>
      <w:r w:rsidR="00353E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затвердження Порядку здійснення контролю за ризиками, пов’язаними з </w:t>
      </w:r>
      <w:r w:rsidR="00353E7B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управлінням державним (місцевим) боргом».</w:t>
      </w:r>
    </w:p>
    <w:p w:rsidR="00243A35" w:rsidRPr="00BD18A7" w:rsidRDefault="00243A35" w:rsidP="0024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353E7B" w:rsidRPr="00BD18A7" w:rsidRDefault="00353E7B" w:rsidP="0024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І.</w:t>
      </w:r>
      <w:r w:rsidR="00453E1D"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Виконання</w:t>
      </w:r>
      <w:r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53E1D"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</w:t>
      </w:r>
      <w:r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оказник</w:t>
      </w:r>
      <w:r w:rsidR="00453E1D"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ів</w:t>
      </w:r>
      <w:r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рішення Сумської міської ради «</w:t>
      </w:r>
      <w:r w:rsidR="00375F99"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 бюджет Сумської міської  об’єднаної територіальної громади на 202</w:t>
      </w:r>
      <w:r w:rsidR="00B1459D"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</w:t>
      </w:r>
      <w:r w:rsidR="00375F99"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рік</w:t>
      </w:r>
      <w:r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» в частині </w:t>
      </w:r>
      <w:r w:rsidR="00375F99" w:rsidRPr="00BD18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погашення та обслуговування місцевого боргу</w:t>
      </w:r>
    </w:p>
    <w:p w:rsidR="00243A35" w:rsidRPr="00BD18A7" w:rsidRDefault="00243A35" w:rsidP="0024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3E7B" w:rsidRPr="00BD18A7" w:rsidRDefault="00353E7B" w:rsidP="000F68C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18A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Сумської міської ради від </w:t>
      </w:r>
      <w:r w:rsidR="007A7C60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24</w:t>
      </w:r>
      <w:r w:rsidR="00C430FF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грудня 20</w:t>
      </w:r>
      <w:r w:rsidR="00B1459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 w:rsidR="007A7C60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 w:rsidR="00BB1C98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МР «Про </w:t>
      </w:r>
      <w:r w:rsidR="007A7C60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бюджет Сумської міської об’єднаної територіальної громади 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20</w:t>
      </w:r>
      <w:r w:rsidR="007A7C60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1459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рік» було </w:t>
      </w:r>
      <w:r w:rsidR="00A219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визначено на 31 грудня 202</w:t>
      </w:r>
      <w:r w:rsidR="00060E6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A219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граничний </w:t>
      </w:r>
      <w:r w:rsidR="00A219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обсяг 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місцевого боргу </w:t>
      </w:r>
      <w:r w:rsidR="00A219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сумі </w:t>
      </w:r>
      <w:r w:rsidR="00060E6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133 293,4</w:t>
      </w:r>
      <w:r w:rsidR="00453E1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тис. гривень.</w:t>
      </w:r>
      <w:r w:rsidR="00F47C95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53E1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</w:t>
      </w:r>
      <w:r w:rsidR="00F47C95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актично</w:t>
      </w:r>
      <w:r w:rsidR="004D3441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</w:t>
      </w:r>
      <w:r w:rsidR="00F41002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31 грудня 2021</w:t>
      </w:r>
      <w:r w:rsidR="00A219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881858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219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обсяг </w:t>
      </w:r>
      <w:r w:rsidR="00881858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місцевого боргу склав </w:t>
      </w:r>
      <w:r w:rsidR="009279A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10 349,8</w:t>
      </w:r>
      <w:r w:rsidR="00881858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тис. гр</w:t>
      </w:r>
      <w:r w:rsidR="00C1597F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ивень</w:t>
      </w:r>
      <w:r w:rsidR="00881858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с</w:t>
      </w:r>
      <w:r w:rsidR="00A04371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тановить</w:t>
      </w:r>
      <w:r w:rsidR="00881858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D65E7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7,</w:t>
      </w:r>
      <w:r w:rsidR="00C1597F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BC20D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% від запланованого</w:t>
      </w:r>
      <w:r w:rsidR="002935BF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граничного </w:t>
      </w:r>
      <w:r w:rsidR="00A219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обсягу </w:t>
      </w:r>
      <w:r w:rsidR="002935BF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місцевого боргу</w:t>
      </w:r>
      <w:r w:rsidR="00BC20D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В</w:t>
      </w:r>
      <w:r w:rsidR="00A2197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C20D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 w:rsidR="00CD65E7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3D542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BC20DB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році</w:t>
      </w:r>
      <w:r w:rsidR="000C4C8C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F266A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="00650A86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надходили</w:t>
      </w:r>
      <w:r w:rsidR="008F266A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C8C" w:rsidRPr="00BD18A7">
        <w:rPr>
          <w:rFonts w:ascii="Times New Roman" w:hAnsi="Times New Roman"/>
          <w:sz w:val="28"/>
          <w:szCs w:val="28"/>
          <w:lang w:val="uk-UA"/>
        </w:rPr>
        <w:t>кредитні кошти від</w:t>
      </w:r>
      <w:r w:rsidR="009A4C98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C8C" w:rsidRPr="00BD18A7">
        <w:rPr>
          <w:rFonts w:ascii="Times New Roman" w:hAnsi="Times New Roman"/>
          <w:sz w:val="28"/>
          <w:szCs w:val="28"/>
          <w:lang w:val="uk-UA"/>
        </w:rPr>
        <w:t>Міністерства фінансів України (</w:t>
      </w:r>
      <w:proofErr w:type="spellStart"/>
      <w:r w:rsidR="000C4C8C" w:rsidRPr="00BD18A7">
        <w:rPr>
          <w:rFonts w:ascii="Times New Roman" w:hAnsi="Times New Roman"/>
          <w:sz w:val="28"/>
          <w:szCs w:val="28"/>
          <w:lang w:val="uk-UA"/>
        </w:rPr>
        <w:t>субкредит</w:t>
      </w:r>
      <w:proofErr w:type="spellEnd"/>
      <w:r w:rsidR="000C4C8C" w:rsidRPr="00BD18A7">
        <w:rPr>
          <w:rFonts w:ascii="Times New Roman" w:hAnsi="Times New Roman"/>
          <w:sz w:val="28"/>
          <w:szCs w:val="28"/>
          <w:lang w:val="uk-UA"/>
        </w:rPr>
        <w:t xml:space="preserve"> Європейського інвестиційного банку)</w:t>
      </w:r>
      <w:r w:rsidR="002935BF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E1D" w:rsidRPr="00BD18A7">
        <w:rPr>
          <w:rFonts w:ascii="Times New Roman" w:hAnsi="Times New Roman"/>
          <w:sz w:val="28"/>
          <w:szCs w:val="28"/>
          <w:lang w:val="uk-UA"/>
        </w:rPr>
        <w:t>в</w:t>
      </w:r>
      <w:r w:rsidR="008F266A" w:rsidRPr="00BD18A7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="00453E1D" w:rsidRPr="00BD18A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96</w:t>
      </w:r>
      <w:r w:rsidR="008F266A" w:rsidRPr="00BD18A7">
        <w:rPr>
          <w:rFonts w:ascii="Times New Roman" w:hAnsi="Times New Roman"/>
          <w:sz w:val="28"/>
          <w:szCs w:val="28"/>
          <w:lang w:val="uk-UA"/>
        </w:rPr>
        <w:t> 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859</w:t>
      </w:r>
      <w:r w:rsidR="008F266A" w:rsidRPr="00BD18A7">
        <w:rPr>
          <w:rFonts w:ascii="Times New Roman" w:hAnsi="Times New Roman"/>
          <w:sz w:val="28"/>
          <w:szCs w:val="28"/>
          <w:lang w:val="uk-UA"/>
        </w:rPr>
        <w:t>,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6</w:t>
      </w:r>
      <w:r w:rsidR="008F266A" w:rsidRPr="00BD18A7">
        <w:rPr>
          <w:rFonts w:ascii="Times New Roman" w:hAnsi="Times New Roman"/>
          <w:sz w:val="28"/>
          <w:szCs w:val="28"/>
          <w:lang w:val="uk-UA"/>
        </w:rPr>
        <w:t xml:space="preserve"> тис. г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ривень</w:t>
      </w:r>
      <w:r w:rsidR="008F266A" w:rsidRPr="00BD18A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2935BF" w:rsidRPr="00BD18A7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 w:rsidR="008F266A" w:rsidRPr="00BD18A7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A2197B" w:rsidRPr="00BD18A7">
        <w:rPr>
          <w:rFonts w:ascii="Times New Roman" w:hAnsi="Times New Roman"/>
          <w:sz w:val="28"/>
          <w:szCs w:val="28"/>
          <w:lang w:val="uk-UA"/>
        </w:rPr>
        <w:t xml:space="preserve">інвестиційного </w:t>
      </w:r>
      <w:proofErr w:type="spellStart"/>
      <w:r w:rsidR="002935BF" w:rsidRPr="00BD18A7">
        <w:rPr>
          <w:rFonts w:ascii="Times New Roman" w:hAnsi="Times New Roman"/>
          <w:sz w:val="28"/>
          <w:szCs w:val="28"/>
          <w:lang w:val="uk-UA"/>
        </w:rPr>
        <w:t>про</w:t>
      </w:r>
      <w:r w:rsidR="00766026" w:rsidRPr="00BD18A7">
        <w:rPr>
          <w:rFonts w:ascii="Times New Roman" w:hAnsi="Times New Roman"/>
          <w:sz w:val="28"/>
          <w:szCs w:val="28"/>
          <w:lang w:val="uk-UA"/>
        </w:rPr>
        <w:t>є</w:t>
      </w:r>
      <w:r w:rsidR="000C4C8C" w:rsidRPr="00BD18A7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0C4C8C" w:rsidRPr="00BD18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Покращення енергоефективності в освітніх закладах міста Суми</w:t>
      </w:r>
      <w:r w:rsidR="000C4C8C" w:rsidRPr="00BD18A7">
        <w:rPr>
          <w:rFonts w:ascii="Times New Roman" w:hAnsi="Times New Roman"/>
          <w:sz w:val="28"/>
          <w:szCs w:val="28"/>
          <w:lang w:val="uk-UA"/>
        </w:rPr>
        <w:t>»</w:t>
      </w:r>
      <w:r w:rsidR="009A4C98" w:rsidRPr="00BD18A7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 xml:space="preserve">Північної Екологічної Фінансової Корпорації (НЕФКО) для реалізації інвестиційного </w:t>
      </w:r>
      <w:proofErr w:type="spellStart"/>
      <w:r w:rsidR="003D5429" w:rsidRPr="00BD18A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3D5429" w:rsidRPr="00BD18A7">
        <w:rPr>
          <w:rFonts w:ascii="Times New Roman" w:hAnsi="Times New Roman"/>
          <w:sz w:val="28"/>
          <w:szCs w:val="28"/>
          <w:lang w:val="uk-UA"/>
        </w:rPr>
        <w:t xml:space="preserve">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</w:t>
      </w:r>
      <w:r w:rsidR="009A4C98" w:rsidRPr="00BD18A7">
        <w:rPr>
          <w:rFonts w:ascii="Times New Roman" w:hAnsi="Times New Roman"/>
          <w:sz w:val="28"/>
          <w:szCs w:val="28"/>
          <w:lang w:val="uk-UA"/>
        </w:rPr>
        <w:t xml:space="preserve">ької міської ради потужністю 60 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000 м</w:t>
      </w:r>
      <w:r w:rsidR="003D5429" w:rsidRPr="00BD18A7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/добу з виділенням першої черги будівництва потужністю 30 000 м</w:t>
      </w:r>
      <w:r w:rsidR="003D5429" w:rsidRPr="00BD18A7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/добу у м. Суми, вул. Гамалія, буд. 40)»</w:t>
      </w:r>
      <w:r w:rsidR="003D542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сумі </w:t>
      </w:r>
      <w:r w:rsidR="003D5429" w:rsidRPr="00BD18A7">
        <w:rPr>
          <w:rFonts w:ascii="Times New Roman" w:hAnsi="Times New Roman"/>
          <w:sz w:val="28"/>
          <w:szCs w:val="28"/>
          <w:lang w:val="uk-UA"/>
        </w:rPr>
        <w:t>26 250,0 тис. гривень</w:t>
      </w:r>
      <w:r w:rsidR="000F68CF" w:rsidRPr="00BD18A7">
        <w:rPr>
          <w:rFonts w:ascii="Times New Roman" w:hAnsi="Times New Roman"/>
          <w:sz w:val="28"/>
          <w:szCs w:val="28"/>
          <w:lang w:val="uk-UA"/>
        </w:rPr>
        <w:t>.</w:t>
      </w:r>
    </w:p>
    <w:p w:rsidR="00353E7B" w:rsidRPr="00BD18A7" w:rsidRDefault="00353E7B" w:rsidP="0030186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агальні витрати на обслуговування та погашення місцевого боргу в </w:t>
      </w:r>
      <w:r w:rsidR="00301868" w:rsidRPr="00BD18A7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D18A7">
        <w:rPr>
          <w:rFonts w:ascii="Times New Roman" w:hAnsi="Times New Roman"/>
          <w:sz w:val="28"/>
          <w:szCs w:val="28"/>
          <w:lang w:val="uk-UA"/>
        </w:rPr>
        <w:t>20</w:t>
      </w:r>
      <w:r w:rsidR="00792D16" w:rsidRPr="00BD18A7">
        <w:rPr>
          <w:rFonts w:ascii="Times New Roman" w:hAnsi="Times New Roman"/>
          <w:sz w:val="28"/>
          <w:szCs w:val="28"/>
          <w:lang w:val="uk-UA"/>
        </w:rPr>
        <w:t>2</w:t>
      </w:r>
      <w:r w:rsidR="00822D3D" w:rsidRPr="00BD18A7">
        <w:rPr>
          <w:rFonts w:ascii="Times New Roman" w:hAnsi="Times New Roman"/>
          <w:sz w:val="28"/>
          <w:szCs w:val="28"/>
          <w:lang w:val="uk-UA"/>
        </w:rPr>
        <w:t>1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 році за рахунок коштів бюджету </w:t>
      </w:r>
      <w:r w:rsidR="00B76C19" w:rsidRPr="00BD18A7">
        <w:rPr>
          <w:rFonts w:ascii="Times New Roman" w:hAnsi="Times New Roman"/>
          <w:sz w:val="28"/>
          <w:szCs w:val="28"/>
          <w:lang w:val="uk-UA"/>
        </w:rPr>
        <w:t xml:space="preserve">Сумської міської об’єднаної територіальної </w:t>
      </w:r>
      <w:r w:rsidR="004B4859" w:rsidRPr="00BD18A7">
        <w:rPr>
          <w:rFonts w:ascii="Times New Roman" w:hAnsi="Times New Roman"/>
          <w:sz w:val="28"/>
          <w:szCs w:val="28"/>
          <w:lang w:val="uk-UA"/>
        </w:rPr>
        <w:t>громади</w:t>
      </w:r>
      <w:r w:rsidR="00B76C19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14C" w:rsidRPr="00BD18A7">
        <w:rPr>
          <w:rFonts w:ascii="Times New Roman" w:hAnsi="Times New Roman"/>
          <w:sz w:val="28"/>
          <w:szCs w:val="28"/>
          <w:lang w:val="uk-UA"/>
        </w:rPr>
        <w:t xml:space="preserve">склали </w:t>
      </w:r>
      <w:r w:rsidR="00822D3D" w:rsidRPr="00BD18A7">
        <w:rPr>
          <w:rFonts w:ascii="Times New Roman" w:hAnsi="Times New Roman"/>
          <w:sz w:val="28"/>
          <w:szCs w:val="28"/>
          <w:lang w:val="uk-UA"/>
        </w:rPr>
        <w:t>4 604,0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 тис. гр</w:t>
      </w:r>
      <w:r w:rsidR="00822D3D" w:rsidRPr="00BD18A7">
        <w:rPr>
          <w:rFonts w:ascii="Times New Roman" w:hAnsi="Times New Roman"/>
          <w:sz w:val="28"/>
          <w:szCs w:val="28"/>
          <w:lang w:val="uk-UA"/>
        </w:rPr>
        <w:t>ивень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, з них: </w:t>
      </w:r>
    </w:p>
    <w:p w:rsidR="00353E7B" w:rsidRPr="00BD18A7" w:rsidRDefault="00353E7B" w:rsidP="00465719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lang w:val="uk-UA"/>
        </w:rPr>
        <w:t xml:space="preserve">обсяг платежів з погашення місцевого боргу – </w:t>
      </w:r>
      <w:r w:rsidR="00822D3D" w:rsidRPr="00BD18A7">
        <w:rPr>
          <w:rFonts w:ascii="Times New Roman" w:hAnsi="Times New Roman"/>
          <w:sz w:val="28"/>
          <w:szCs w:val="28"/>
          <w:lang w:val="uk-UA"/>
        </w:rPr>
        <w:t>3 537,2</w:t>
      </w:r>
      <w:r w:rsidR="00330BB5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8A7">
        <w:rPr>
          <w:rFonts w:ascii="Times New Roman" w:hAnsi="Times New Roman"/>
          <w:sz w:val="28"/>
          <w:szCs w:val="28"/>
          <w:lang w:val="uk-UA"/>
        </w:rPr>
        <w:t>тис. г</w:t>
      </w:r>
      <w:r w:rsidR="00822D3D" w:rsidRPr="00BD18A7">
        <w:rPr>
          <w:rFonts w:ascii="Times New Roman" w:hAnsi="Times New Roman"/>
          <w:sz w:val="28"/>
          <w:szCs w:val="28"/>
          <w:lang w:val="uk-UA"/>
        </w:rPr>
        <w:t>ривень</w:t>
      </w:r>
      <w:r w:rsidR="00822D3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становить 96,9 % затверджених планових показників з урахуванням внесених змін.    </w:t>
      </w:r>
    </w:p>
    <w:p w:rsidR="00353E7B" w:rsidRPr="00BD18A7" w:rsidRDefault="00353E7B" w:rsidP="00465719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обсяг платежів з обслуговування місцевого боргу –</w:t>
      </w:r>
      <w:r w:rsidR="00822D3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1066,9</w:t>
      </w:r>
      <w:r w:rsidR="00766980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E5C41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 гр</w:t>
      </w:r>
      <w:r w:rsidR="00322DD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ивень</w:t>
      </w:r>
      <w:r w:rsidR="0066714C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822D3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6714C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 </w:t>
      </w:r>
      <w:r w:rsidR="00243A35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становить</w:t>
      </w:r>
      <w:r w:rsidR="0066714C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22D3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98,2</w:t>
      </w:r>
      <w:r w:rsidR="0066714C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% </w:t>
      </w:r>
      <w:r w:rsidR="00243A35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затверджених планових показників </w:t>
      </w:r>
      <w:r w:rsidR="005D45B1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822D3D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D45B1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урахуванням</w:t>
      </w:r>
      <w:r w:rsidR="00243A35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внесених</w:t>
      </w:r>
      <w:r w:rsidR="005D45B1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змін.</w:t>
      </w:r>
      <w:r w:rsidR="0066714C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322DD9" w:rsidRPr="00465719" w:rsidRDefault="00353E7B" w:rsidP="00465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65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Усі</w:t>
      </w:r>
      <w:r w:rsidR="0041674D" w:rsidRPr="00465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необхідні</w:t>
      </w:r>
      <w:r w:rsidRPr="00465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платежі з погашення та обслуговування місцевого боргу </w:t>
      </w:r>
      <w:r w:rsidRPr="0046571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були здійснені вчасно та в повному обсязі.</w:t>
      </w:r>
    </w:p>
    <w:p w:rsidR="00243A35" w:rsidRPr="00BD18A7" w:rsidRDefault="00243A35" w:rsidP="0024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B173BE" w:rsidRPr="00BD18A7" w:rsidRDefault="00B173BE" w:rsidP="0024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ІІ. Боргові інструменти, за допомогою яких забезпечувалося фінансування </w:t>
      </w:r>
      <w:r w:rsidR="00375F99" w:rsidRPr="00BD18A7">
        <w:rPr>
          <w:rFonts w:ascii="Times New Roman" w:hAnsi="Times New Roman"/>
          <w:b/>
          <w:sz w:val="28"/>
          <w:szCs w:val="28"/>
          <w:lang w:val="uk-UA"/>
        </w:rPr>
        <w:t>бюджету Сумської міської</w:t>
      </w:r>
      <w:r w:rsidR="00322DD9" w:rsidRPr="00BD18A7">
        <w:rPr>
          <w:rFonts w:ascii="Times New Roman" w:hAnsi="Times New Roman"/>
          <w:b/>
          <w:sz w:val="28"/>
          <w:szCs w:val="28"/>
          <w:lang w:val="uk-UA"/>
        </w:rPr>
        <w:t xml:space="preserve"> об’єднаної</w:t>
      </w:r>
      <w:r w:rsidR="00375F99" w:rsidRPr="00BD18A7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  <w:r w:rsidRPr="00BD18A7">
        <w:rPr>
          <w:rFonts w:ascii="Times New Roman" w:hAnsi="Times New Roman"/>
          <w:b/>
          <w:sz w:val="28"/>
          <w:szCs w:val="28"/>
          <w:lang w:val="uk-UA"/>
        </w:rPr>
        <w:t xml:space="preserve"> у 20</w:t>
      </w:r>
      <w:r w:rsidR="0061488D" w:rsidRPr="00BD18A7">
        <w:rPr>
          <w:rFonts w:ascii="Times New Roman" w:hAnsi="Times New Roman"/>
          <w:b/>
          <w:sz w:val="28"/>
          <w:szCs w:val="28"/>
          <w:lang w:val="uk-UA"/>
        </w:rPr>
        <w:t>2</w:t>
      </w:r>
      <w:r w:rsidR="004E01CA" w:rsidRPr="00BD18A7">
        <w:rPr>
          <w:rFonts w:ascii="Times New Roman" w:hAnsi="Times New Roman"/>
          <w:b/>
          <w:sz w:val="28"/>
          <w:szCs w:val="28"/>
          <w:lang w:val="uk-UA"/>
        </w:rPr>
        <w:t>1</w:t>
      </w:r>
      <w:r w:rsidR="00375F99" w:rsidRPr="00BD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18A7">
        <w:rPr>
          <w:rFonts w:ascii="Times New Roman" w:hAnsi="Times New Roman"/>
          <w:b/>
          <w:sz w:val="28"/>
          <w:szCs w:val="28"/>
          <w:lang w:val="uk-UA"/>
        </w:rPr>
        <w:t>році</w:t>
      </w:r>
    </w:p>
    <w:p w:rsidR="00243A35" w:rsidRPr="00BD18A7" w:rsidRDefault="00243A35" w:rsidP="00243A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3D" w:rsidRPr="00BD18A7" w:rsidRDefault="00732E56" w:rsidP="008E4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lang w:val="uk-UA"/>
        </w:rPr>
        <w:t xml:space="preserve">Для покриття дефіциту спеціального фонду бюджету Сумської міської  </w:t>
      </w:r>
      <w:r w:rsidR="00322DD9" w:rsidRPr="00BD18A7">
        <w:rPr>
          <w:rFonts w:ascii="Times New Roman" w:hAnsi="Times New Roman"/>
          <w:sz w:val="28"/>
          <w:szCs w:val="28"/>
          <w:lang w:val="uk-UA"/>
        </w:rPr>
        <w:t xml:space="preserve">об’єднаної </w:t>
      </w:r>
      <w:r w:rsidRPr="00BD18A7">
        <w:rPr>
          <w:rFonts w:ascii="Times New Roman" w:hAnsi="Times New Roman"/>
          <w:sz w:val="28"/>
          <w:szCs w:val="28"/>
          <w:lang w:val="uk-UA"/>
        </w:rPr>
        <w:t>територіальної громади (бюджету розвитку) у 202</w:t>
      </w:r>
      <w:r w:rsidR="008C7BBD" w:rsidRPr="00BD18A7">
        <w:rPr>
          <w:rFonts w:ascii="Times New Roman" w:hAnsi="Times New Roman"/>
          <w:sz w:val="28"/>
          <w:szCs w:val="28"/>
          <w:lang w:val="uk-UA"/>
        </w:rPr>
        <w:t>1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="00BB46E9" w:rsidRPr="00BD18A7">
        <w:rPr>
          <w:rFonts w:ascii="Times New Roman" w:hAnsi="Times New Roman"/>
          <w:sz w:val="28"/>
          <w:szCs w:val="28"/>
          <w:lang w:val="uk-UA"/>
        </w:rPr>
        <w:t>планувалося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 отримати</w:t>
      </w:r>
      <w:r w:rsidR="00BB46E9" w:rsidRPr="00BD18A7">
        <w:rPr>
          <w:rFonts w:ascii="Times New Roman" w:hAnsi="Times New Roman"/>
          <w:sz w:val="28"/>
          <w:szCs w:val="28"/>
          <w:lang w:val="uk-UA"/>
        </w:rPr>
        <w:t xml:space="preserve"> кредитні кошти в рамках здійснених місцевих запозичень на реалізацію інвестиційних </w:t>
      </w:r>
      <w:proofErr w:type="spellStart"/>
      <w:r w:rsidR="00BB46E9" w:rsidRPr="00BD18A7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BB46E9" w:rsidRPr="00BD18A7">
        <w:rPr>
          <w:rFonts w:ascii="Times New Roman" w:hAnsi="Times New Roman"/>
          <w:sz w:val="28"/>
          <w:szCs w:val="28"/>
          <w:lang w:val="uk-UA"/>
        </w:rPr>
        <w:t xml:space="preserve"> в сумі  </w:t>
      </w:r>
      <w:r w:rsidR="00CC4904" w:rsidRPr="00BD18A7">
        <w:rPr>
          <w:rFonts w:ascii="Times New Roman" w:hAnsi="Times New Roman"/>
          <w:sz w:val="28"/>
          <w:szCs w:val="28"/>
          <w:lang w:val="uk-UA"/>
        </w:rPr>
        <w:t>124 581,1</w:t>
      </w:r>
      <w:r w:rsidR="00BB46E9" w:rsidRPr="00BD18A7">
        <w:rPr>
          <w:rFonts w:ascii="Times New Roman" w:hAnsi="Times New Roman"/>
          <w:sz w:val="28"/>
          <w:szCs w:val="28"/>
          <w:lang w:val="uk-UA"/>
        </w:rPr>
        <w:t xml:space="preserve"> тис. гривень в т. ч.:</w:t>
      </w:r>
    </w:p>
    <w:p w:rsidR="00CC4904" w:rsidRPr="00BD18A7" w:rsidRDefault="00CC4904" w:rsidP="008E469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Європейського інвестиційного банку через Міністерство фінансів України в сумі 96 859,6 тис. гривень для реалізації 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інвестиційного </w:t>
      </w:r>
      <w:proofErr w:type="spellStart"/>
      <w:r w:rsidRPr="00BD18A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D18A7">
        <w:rPr>
          <w:rFonts w:ascii="Times New Roman" w:hAnsi="Times New Roman"/>
          <w:sz w:val="28"/>
          <w:szCs w:val="28"/>
          <w:lang w:val="uk-UA"/>
        </w:rPr>
        <w:t xml:space="preserve"> «Підвищення енергоефективності в дошкільних навчальних закладах </w:t>
      </w:r>
      <w:r w:rsidRPr="00BD18A7">
        <w:rPr>
          <w:rFonts w:ascii="Times New Roman" w:hAnsi="Times New Roman"/>
          <w:sz w:val="28"/>
          <w:szCs w:val="28"/>
          <w:lang w:val="uk-UA"/>
        </w:rPr>
        <w:br/>
        <w:t>м. Суми»</w:t>
      </w:r>
      <w:r w:rsidR="008E4698" w:rsidRPr="00BD18A7">
        <w:rPr>
          <w:rFonts w:ascii="Times New Roman" w:hAnsi="Times New Roman"/>
          <w:sz w:val="28"/>
          <w:szCs w:val="28"/>
          <w:lang w:val="uk-UA"/>
        </w:rPr>
        <w:t>;</w:t>
      </w:r>
    </w:p>
    <w:p w:rsidR="00CC4904" w:rsidRPr="00BD18A7" w:rsidRDefault="00CC4904" w:rsidP="008E469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lang w:val="uk-UA"/>
        </w:rPr>
        <w:t>від НЕФКО у сумі 27 721,5 тис. гривень, а саме:</w:t>
      </w:r>
    </w:p>
    <w:p w:rsidR="00CC4904" w:rsidRPr="00BD18A7" w:rsidRDefault="00CC4904" w:rsidP="008E4698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lang w:val="uk-UA"/>
        </w:rPr>
        <w:t xml:space="preserve">1 471,5 тис. гривень – останній ІІІ транш для завершення реалізації інвестиційного </w:t>
      </w:r>
      <w:proofErr w:type="spellStart"/>
      <w:r w:rsidRPr="00BD18A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D18A7">
        <w:rPr>
          <w:rFonts w:ascii="Times New Roman" w:hAnsi="Times New Roman"/>
          <w:sz w:val="28"/>
          <w:szCs w:val="28"/>
          <w:lang w:val="uk-UA"/>
        </w:rPr>
        <w:t xml:space="preserve"> «Енергоефективна </w:t>
      </w:r>
      <w:proofErr w:type="spellStart"/>
      <w:r w:rsidRPr="00BD18A7">
        <w:rPr>
          <w:rFonts w:ascii="Times New Roman" w:hAnsi="Times New Roman"/>
          <w:sz w:val="28"/>
          <w:szCs w:val="28"/>
          <w:lang w:val="uk-UA"/>
        </w:rPr>
        <w:t>термомодернізація</w:t>
      </w:r>
      <w:proofErr w:type="spellEnd"/>
      <w:r w:rsidRPr="00BD18A7">
        <w:rPr>
          <w:rFonts w:ascii="Times New Roman" w:hAnsi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BD18A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D18A7">
        <w:rPr>
          <w:rFonts w:ascii="Times New Roman" w:hAnsi="Times New Roman"/>
          <w:sz w:val="28"/>
          <w:szCs w:val="28"/>
          <w:lang w:val="uk-UA"/>
        </w:rPr>
        <w:t>: м. Суми, вул. Троїцька, 28»;</w:t>
      </w:r>
    </w:p>
    <w:p w:rsidR="00CC4904" w:rsidRPr="00BD18A7" w:rsidRDefault="00CC4904" w:rsidP="008E4698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lang w:val="uk-UA"/>
        </w:rPr>
        <w:t xml:space="preserve">26 250,0 тис. гривень </w:t>
      </w:r>
      <w:r w:rsidR="008E4698" w:rsidRPr="00BD18A7">
        <w:rPr>
          <w:rFonts w:ascii="Times New Roman" w:hAnsi="Times New Roman"/>
          <w:sz w:val="28"/>
          <w:szCs w:val="28"/>
          <w:lang w:val="uk-UA"/>
        </w:rPr>
        <w:t>–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 для реалізації</w:t>
      </w:r>
      <w:r w:rsidRPr="00BD18A7">
        <w:rPr>
          <w:lang w:val="uk-UA"/>
        </w:rPr>
        <w:t xml:space="preserve"> 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інвестиційного </w:t>
      </w:r>
      <w:proofErr w:type="spellStart"/>
      <w:r w:rsidRPr="00BD18A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D18A7">
        <w:rPr>
          <w:rFonts w:ascii="Times New Roman" w:hAnsi="Times New Roman"/>
          <w:sz w:val="28"/>
          <w:szCs w:val="28"/>
          <w:lang w:val="uk-UA"/>
        </w:rPr>
        <w:t xml:space="preserve">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</w:t>
      </w:r>
      <w:r w:rsidRPr="00BD18A7">
        <w:rPr>
          <w:rFonts w:ascii="Times New Roman" w:hAnsi="Times New Roman"/>
          <w:sz w:val="28"/>
          <w:szCs w:val="28"/>
          <w:lang w:val="uk-UA"/>
        </w:rPr>
        <w:br/>
        <w:t>60 000 м</w:t>
      </w:r>
      <w:r w:rsidRPr="00BD18A7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/добу з виділенням першої черги будівництва потужністю </w:t>
      </w:r>
      <w:r w:rsidRPr="00BD18A7">
        <w:rPr>
          <w:rFonts w:ascii="Times New Roman" w:hAnsi="Times New Roman"/>
          <w:sz w:val="28"/>
          <w:szCs w:val="28"/>
          <w:lang w:val="uk-UA"/>
        </w:rPr>
        <w:br/>
        <w:t>30 000 м</w:t>
      </w:r>
      <w:r w:rsidRPr="00BD18A7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BD18A7">
        <w:rPr>
          <w:rFonts w:ascii="Times New Roman" w:hAnsi="Times New Roman"/>
          <w:sz w:val="28"/>
          <w:szCs w:val="28"/>
          <w:lang w:val="uk-UA"/>
        </w:rPr>
        <w:t>/добу у м. Суми вул. Гамалія, буд. 40)».</w:t>
      </w:r>
    </w:p>
    <w:p w:rsidR="00F20848" w:rsidRPr="00BD18A7" w:rsidRDefault="00F20848" w:rsidP="008E46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 рахунок бюджету розвитку у 202</w:t>
      </w:r>
      <w:r w:rsidR="00CC4904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році забезпечено погашен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ня місцевого боргу в сумі </w:t>
      </w:r>
      <w:r w:rsidR="008E4698" w:rsidRPr="00BD18A7">
        <w:rPr>
          <w:rFonts w:ascii="Times New Roman" w:hAnsi="Times New Roman"/>
          <w:sz w:val="28"/>
          <w:szCs w:val="28"/>
          <w:lang w:val="uk-UA"/>
        </w:rPr>
        <w:t>3 537,2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 тис. гр</w:t>
      </w:r>
      <w:r w:rsidR="008E4698" w:rsidRPr="00BD18A7">
        <w:rPr>
          <w:rFonts w:ascii="Times New Roman" w:hAnsi="Times New Roman"/>
          <w:sz w:val="28"/>
          <w:szCs w:val="28"/>
          <w:lang w:val="uk-UA"/>
        </w:rPr>
        <w:t xml:space="preserve">ивень 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за кредитом НЕФКО на реалізацію інвестиційного </w:t>
      </w:r>
      <w:proofErr w:type="spellStart"/>
      <w:r w:rsidRPr="00BD18A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D18A7">
        <w:rPr>
          <w:rFonts w:ascii="Times New Roman" w:hAnsi="Times New Roman"/>
          <w:sz w:val="28"/>
          <w:szCs w:val="28"/>
          <w:lang w:val="uk-UA"/>
        </w:rPr>
        <w:t xml:space="preserve"> «Енергоефективна </w:t>
      </w:r>
      <w:proofErr w:type="spellStart"/>
      <w:r w:rsidRPr="00BD18A7">
        <w:rPr>
          <w:rFonts w:ascii="Times New Roman" w:hAnsi="Times New Roman"/>
          <w:sz w:val="28"/>
          <w:szCs w:val="28"/>
          <w:lang w:val="uk-UA"/>
        </w:rPr>
        <w:t>термомодернізація</w:t>
      </w:r>
      <w:proofErr w:type="spellEnd"/>
      <w:r w:rsidRPr="00BD18A7">
        <w:rPr>
          <w:rFonts w:ascii="Times New Roman" w:hAnsi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клінічна лікарня Святої Зінаїди» Сумської міської ради за </w:t>
      </w:r>
      <w:proofErr w:type="spellStart"/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: м. Суми, вул. Троїцька, 28»</w:t>
      </w:r>
      <w:r w:rsidR="008E4698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243A35" w:rsidRPr="00BD18A7" w:rsidRDefault="00243A35" w:rsidP="0024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173BE" w:rsidRPr="00BD18A7" w:rsidRDefault="00B173BE" w:rsidP="00243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D18A7">
        <w:rPr>
          <w:rFonts w:ascii="Times New Roman" w:hAnsi="Times New Roman"/>
          <w:b/>
          <w:sz w:val="28"/>
          <w:szCs w:val="28"/>
          <w:lang w:val="uk-UA"/>
        </w:rPr>
        <w:t xml:space="preserve">ІІ. Структура місцевого боргу </w:t>
      </w:r>
      <w:r w:rsidR="00375F99" w:rsidRPr="00BD18A7">
        <w:rPr>
          <w:rFonts w:ascii="Times New Roman" w:hAnsi="Times New Roman"/>
          <w:b/>
          <w:sz w:val="28"/>
          <w:szCs w:val="28"/>
          <w:lang w:val="uk-UA"/>
        </w:rPr>
        <w:t xml:space="preserve">Сумської міської </w:t>
      </w:r>
      <w:r w:rsidR="00266552" w:rsidRPr="00BD18A7">
        <w:rPr>
          <w:rFonts w:ascii="Times New Roman" w:hAnsi="Times New Roman"/>
          <w:b/>
          <w:sz w:val="28"/>
          <w:szCs w:val="28"/>
          <w:lang w:val="uk-UA"/>
        </w:rPr>
        <w:t xml:space="preserve">об’єднаної </w:t>
      </w:r>
      <w:r w:rsidR="00375F99" w:rsidRPr="00BD18A7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243A35" w:rsidRPr="00BD18A7" w:rsidRDefault="00243A35" w:rsidP="00243A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54BD" w:rsidRPr="00BD18A7" w:rsidRDefault="00F20848" w:rsidP="0026655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Обсяг місцевого боргу </w:t>
      </w:r>
      <w:r w:rsidR="003B61E0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станом на 31 грудня 2021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року склав </w:t>
      </w:r>
      <w:r w:rsidR="00D32F33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br/>
      </w:r>
      <w:r w:rsidR="003B61E0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10 349,8 тис. гривень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 який на 100 % складається із зовнішнього місцевого запозичення у формі кредиту</w:t>
      </w:r>
      <w:r w:rsidR="003B61E0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НЕФКО, залученого на реалізацію інвестиційного </w:t>
      </w:r>
      <w:proofErr w:type="spellStart"/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«Енергоефективна </w:t>
      </w:r>
      <w:proofErr w:type="spellStart"/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термомодернізація</w:t>
      </w:r>
      <w:proofErr w:type="spellEnd"/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: м. Суми, вул. Троїцька, 28». За типом боргового зобов’язання місцевий борг класифікується як зовнішній борг, заборгованість за середньостроковими зобов'язаннями.</w:t>
      </w:r>
    </w:p>
    <w:p w:rsidR="00266552" w:rsidRPr="00BD18A7" w:rsidRDefault="00B173BE" w:rsidP="0024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uk-UA"/>
        </w:rPr>
        <w:lastRenderedPageBreak/>
        <w:t>ІV. Оцінка досягнутих показників та ризиків, пов’язаних з управлінням державним боргом</w:t>
      </w:r>
    </w:p>
    <w:p w:rsidR="00243A35" w:rsidRPr="00BD18A7" w:rsidRDefault="00243A35" w:rsidP="00243A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3BE" w:rsidRPr="00BD18A7" w:rsidRDefault="00266552" w:rsidP="00243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D18A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D318B" w:rsidRPr="00BD18A7">
        <w:rPr>
          <w:rFonts w:ascii="Times New Roman" w:hAnsi="Times New Roman"/>
          <w:sz w:val="28"/>
          <w:szCs w:val="28"/>
          <w:lang w:val="uk-UA"/>
        </w:rPr>
        <w:t>Обсяг</w:t>
      </w:r>
      <w:r w:rsidR="007754BD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3BE" w:rsidRPr="00BD18A7">
        <w:rPr>
          <w:rFonts w:ascii="Times New Roman" w:hAnsi="Times New Roman"/>
          <w:sz w:val="28"/>
          <w:szCs w:val="28"/>
          <w:lang w:val="uk-UA"/>
        </w:rPr>
        <w:t xml:space="preserve">місцевого боргу </w:t>
      </w:r>
      <w:r w:rsidR="00766026" w:rsidRPr="00BD18A7"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="00B173BE" w:rsidRPr="00BD18A7">
        <w:rPr>
          <w:rFonts w:ascii="Times New Roman" w:hAnsi="Times New Roman"/>
          <w:sz w:val="28"/>
          <w:szCs w:val="28"/>
          <w:lang w:val="uk-UA"/>
        </w:rPr>
        <w:t>на</w:t>
      </w:r>
      <w:r w:rsidR="007754BD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3BE" w:rsidRPr="00BD18A7">
        <w:rPr>
          <w:rFonts w:ascii="Times New Roman" w:hAnsi="Times New Roman"/>
          <w:sz w:val="28"/>
          <w:szCs w:val="28"/>
          <w:lang w:val="uk-UA"/>
        </w:rPr>
        <w:t>31.12.20</w:t>
      </w:r>
      <w:r w:rsidR="00A71009" w:rsidRPr="00BD18A7">
        <w:rPr>
          <w:rFonts w:ascii="Times New Roman" w:hAnsi="Times New Roman"/>
          <w:sz w:val="28"/>
          <w:szCs w:val="28"/>
          <w:lang w:val="uk-UA"/>
        </w:rPr>
        <w:t>21</w:t>
      </w:r>
      <w:r w:rsidR="00B173BE" w:rsidRPr="00BD18A7">
        <w:rPr>
          <w:rFonts w:ascii="Times New Roman" w:hAnsi="Times New Roman"/>
          <w:sz w:val="28"/>
          <w:szCs w:val="28"/>
          <w:lang w:val="uk-UA"/>
        </w:rPr>
        <w:t xml:space="preserve"> склав </w:t>
      </w:r>
      <w:r w:rsidR="00A71009" w:rsidRPr="00BD18A7">
        <w:rPr>
          <w:rFonts w:ascii="Times New Roman" w:hAnsi="Times New Roman"/>
          <w:sz w:val="28"/>
          <w:szCs w:val="28"/>
          <w:lang w:val="uk-UA"/>
        </w:rPr>
        <w:t>10 349,8</w:t>
      </w:r>
      <w:r w:rsidR="001842FA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3BE" w:rsidRPr="00BD18A7">
        <w:rPr>
          <w:rFonts w:ascii="Times New Roman" w:hAnsi="Times New Roman"/>
          <w:sz w:val="28"/>
          <w:szCs w:val="28"/>
          <w:lang w:val="uk-UA"/>
        </w:rPr>
        <w:t>тис.</w:t>
      </w:r>
      <w:r w:rsidR="00B173BE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гривень</w:t>
      </w:r>
      <w:r w:rsidR="00494485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не перевищує граничного розміру зазначеного в рішенні Сумської міської ради від </w:t>
      </w:r>
      <w:r w:rsidR="00A71009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24 грудня 2020</w:t>
      </w:r>
      <w:r w:rsidR="00D32F33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року № </w:t>
      </w:r>
      <w:r w:rsidR="00A71009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62</w:t>
      </w:r>
      <w:r w:rsidR="00D32F33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– МР «Про  бюджет Сумської міської об’єднано</w:t>
      </w:r>
      <w:r w:rsidR="00A71009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ї територіальної громади на 2021 рік»</w:t>
      </w:r>
      <w:r w:rsidR="00E37E09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754BD" w:rsidRPr="00BD18A7" w:rsidRDefault="007754BD" w:rsidP="00775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Співвідношення фактичного обсягу витрат на погашення місцевого боргу (</w:t>
      </w:r>
      <w:r w:rsidR="00A71009" w:rsidRPr="00BD18A7">
        <w:rPr>
          <w:rFonts w:ascii="Times New Roman" w:hAnsi="Times New Roman"/>
          <w:sz w:val="28"/>
          <w:szCs w:val="28"/>
          <w:lang w:val="uk-UA"/>
        </w:rPr>
        <w:t xml:space="preserve">3 537,2 </w:t>
      </w:r>
      <w:r w:rsidR="00A7100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 гривень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та фактичного обсягу надходжень бюджету розвитку </w:t>
      </w:r>
      <w:r w:rsidR="00A123ED" w:rsidRPr="00BD18A7">
        <w:rPr>
          <w:rFonts w:ascii="Times New Roman" w:hAnsi="Times New Roman"/>
          <w:sz w:val="28"/>
          <w:szCs w:val="28"/>
          <w:lang w:val="uk-UA"/>
        </w:rPr>
        <w:t>Сумської міської  об’єднаної територіальної громади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 без урахування обсягу місцевих запозичень та капітальних трансфертів з інших бюджетів </w:t>
      </w:r>
      <w:r w:rsidR="00BA4E1D" w:rsidRPr="00BD18A7">
        <w:rPr>
          <w:rFonts w:ascii="Times New Roman" w:hAnsi="Times New Roman"/>
          <w:sz w:val="28"/>
          <w:szCs w:val="28"/>
          <w:lang w:val="uk-UA"/>
        </w:rPr>
        <w:br/>
      </w:r>
      <w:r w:rsidRPr="00BD18A7">
        <w:rPr>
          <w:rFonts w:ascii="Times New Roman" w:hAnsi="Times New Roman"/>
          <w:sz w:val="28"/>
          <w:szCs w:val="28"/>
          <w:lang w:val="uk-UA"/>
        </w:rPr>
        <w:t>(</w:t>
      </w:r>
      <w:r w:rsidR="00FE2939" w:rsidRPr="00BD18A7">
        <w:rPr>
          <w:rFonts w:ascii="Times New Roman" w:hAnsi="Times New Roman"/>
          <w:sz w:val="28"/>
          <w:szCs w:val="28"/>
          <w:lang w:val="uk-UA"/>
        </w:rPr>
        <w:t>525 723,2</w:t>
      </w:r>
      <w:r w:rsidR="00A123ED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тис. </w:t>
      </w:r>
      <w:r w:rsidR="00FE293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гривень</w:t>
      </w:r>
      <w:r w:rsidRPr="00BD18A7">
        <w:rPr>
          <w:rFonts w:ascii="Times New Roman" w:hAnsi="Times New Roman"/>
          <w:sz w:val="28"/>
          <w:szCs w:val="28"/>
          <w:lang w:val="uk-UA"/>
        </w:rPr>
        <w:t>) склало 0,</w:t>
      </w:r>
      <w:r w:rsidR="00A123ED" w:rsidRPr="00BD18A7">
        <w:rPr>
          <w:rFonts w:ascii="Times New Roman" w:hAnsi="Times New Roman"/>
          <w:sz w:val="28"/>
          <w:szCs w:val="28"/>
          <w:lang w:val="uk-UA"/>
        </w:rPr>
        <w:t xml:space="preserve">67 </w:t>
      </w:r>
      <w:r w:rsidR="00842976" w:rsidRPr="00BD18A7">
        <w:rPr>
          <w:rFonts w:ascii="Times New Roman" w:hAnsi="Times New Roman"/>
          <w:sz w:val="28"/>
          <w:szCs w:val="28"/>
          <w:lang w:val="uk-UA"/>
        </w:rPr>
        <w:t>відсотка</w:t>
      </w:r>
      <w:r w:rsidRPr="00BD18A7">
        <w:rPr>
          <w:rFonts w:ascii="Times New Roman" w:hAnsi="Times New Roman"/>
          <w:sz w:val="28"/>
          <w:szCs w:val="28"/>
          <w:lang w:val="uk-UA"/>
        </w:rPr>
        <w:t>.</w:t>
      </w:r>
      <w:r w:rsidR="00842976"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8A7">
        <w:rPr>
          <w:rFonts w:ascii="Times New Roman" w:hAnsi="Times New Roman"/>
          <w:sz w:val="28"/>
          <w:szCs w:val="28"/>
          <w:lang w:val="uk-UA"/>
        </w:rPr>
        <w:t>Питома вага фактичних видатків на обслуговування місцевого боргу (</w:t>
      </w:r>
      <w:r w:rsidR="00FE293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1066,9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E2939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 гривень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в обсязі </w:t>
      </w:r>
      <w:r w:rsidR="00842976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фактичних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видатків загального фонду </w:t>
      </w:r>
      <w:r w:rsidR="00842976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місцевого бюджету без урахування реверсної дотації та субвенцій, крім субвенцій, передбачених пунктами 6-8 частини першої статті</w:t>
      </w:r>
      <w:r w:rsidR="0066714C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42976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97 Бюджетного кодексу України (</w:t>
      </w:r>
      <w:r w:rsidR="00FE2939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2 163 703,2 тис. гривень</w:t>
      </w:r>
      <w:r w:rsidR="00842976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склала </w:t>
      </w:r>
      <w:r w:rsidR="004358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0,05</w:t>
      </w:r>
      <w:r w:rsidR="00842976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відсотка.</w:t>
      </w:r>
    </w:p>
    <w:p w:rsidR="00842976" w:rsidRPr="00BD18A7" w:rsidRDefault="00842976" w:rsidP="00775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Враховуючи незначні витрати на погашення та обслу</w:t>
      </w:r>
      <w:r w:rsidR="00FE2939"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говування місцевого боргу у 2021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році, слід відзначити, що ризики щодо вчасного погашення та обслуговування місцевого боргу були мінімальними. </w:t>
      </w:r>
    </w:p>
    <w:p w:rsidR="00C86C8F" w:rsidRPr="00BD18A7" w:rsidRDefault="00B173BE" w:rsidP="00C86C8F">
      <w:pPr>
        <w:spacing w:after="1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lang w:val="uk-UA"/>
        </w:rPr>
        <w:t>Співвідношення обсягу місцевого боргу на кінець бюджетного періоду</w:t>
      </w:r>
      <w:r w:rsidR="003D731F" w:rsidRPr="00BD18A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E2939" w:rsidRPr="00BD18A7">
        <w:rPr>
          <w:rFonts w:ascii="Times New Roman" w:hAnsi="Times New Roman"/>
          <w:sz w:val="28"/>
          <w:szCs w:val="28"/>
          <w:lang w:val="uk-UA"/>
        </w:rPr>
        <w:t>10 349,8 тис. гривень</w:t>
      </w:r>
      <w:r w:rsidR="003D731F" w:rsidRPr="00BD18A7">
        <w:rPr>
          <w:rFonts w:ascii="Times New Roman" w:hAnsi="Times New Roman"/>
          <w:sz w:val="28"/>
          <w:szCs w:val="28"/>
          <w:lang w:val="uk-UA"/>
        </w:rPr>
        <w:t>) та середньорічного індикативного прогнозного обсягу над</w:t>
      </w:r>
      <w:r w:rsidR="00252EB3" w:rsidRPr="00BD18A7">
        <w:rPr>
          <w:rFonts w:ascii="Times New Roman" w:hAnsi="Times New Roman"/>
          <w:sz w:val="28"/>
          <w:szCs w:val="28"/>
          <w:lang w:val="uk-UA"/>
        </w:rPr>
        <w:t>ходжень бюджету розвитку на 2022-2023</w:t>
      </w:r>
      <w:r w:rsidR="003D731F" w:rsidRPr="00BD18A7">
        <w:rPr>
          <w:rFonts w:ascii="Times New Roman" w:hAnsi="Times New Roman"/>
          <w:sz w:val="28"/>
          <w:szCs w:val="28"/>
          <w:lang w:val="uk-UA"/>
        </w:rPr>
        <w:t xml:space="preserve"> роки (</w:t>
      </w:r>
      <w:r w:rsidR="00252EB3" w:rsidRPr="00BD18A7">
        <w:rPr>
          <w:rFonts w:ascii="Times New Roman" w:hAnsi="Times New Roman"/>
          <w:sz w:val="28"/>
          <w:szCs w:val="28"/>
          <w:lang w:val="uk-UA"/>
        </w:rPr>
        <w:t>654 204,1 тис. гривень</w:t>
      </w:r>
      <w:r w:rsidR="003D731F" w:rsidRPr="00BD18A7">
        <w:rPr>
          <w:rFonts w:ascii="Times New Roman" w:hAnsi="Times New Roman"/>
          <w:sz w:val="28"/>
          <w:szCs w:val="28"/>
          <w:lang w:val="uk-UA"/>
        </w:rPr>
        <w:t>)</w:t>
      </w:r>
      <w:r w:rsidR="00C86C8F" w:rsidRPr="00BD18A7">
        <w:rPr>
          <w:rFonts w:ascii="Times New Roman" w:hAnsi="Times New Roman"/>
          <w:sz w:val="28"/>
          <w:szCs w:val="28"/>
          <w:lang w:val="uk-UA"/>
        </w:rPr>
        <w:t>, визначеного в прогнозі бюджету Сумської міської територіальної громади на 2022-2024 роки, схваленому рішенням Виконавчого комітету Сумської міської ради від 25.01.2022 № 29,</w:t>
      </w:r>
      <w:r w:rsidR="003D731F" w:rsidRPr="00BD18A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клало </w:t>
      </w:r>
      <w:r w:rsidR="00252EB3" w:rsidRPr="00BD18A7">
        <w:rPr>
          <w:rFonts w:ascii="Times New Roman" w:hAnsi="Times New Roman"/>
          <w:sz w:val="28"/>
          <w:szCs w:val="28"/>
          <w:lang w:val="uk-UA"/>
        </w:rPr>
        <w:t>1,6</w:t>
      </w:r>
      <w:r w:rsidR="00A52C17" w:rsidRPr="00BD18A7">
        <w:rPr>
          <w:rFonts w:ascii="Times New Roman" w:hAnsi="Times New Roman"/>
          <w:sz w:val="28"/>
          <w:szCs w:val="28"/>
          <w:lang w:val="uk-UA"/>
        </w:rPr>
        <w:t>%</w:t>
      </w:r>
      <w:r w:rsidR="00C86C8F" w:rsidRPr="00BD18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6C8F"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 </w:t>
      </w:r>
      <w:r w:rsidR="00C86C8F" w:rsidRPr="00BD18A7">
        <w:rPr>
          <w:rFonts w:ascii="Times New Roman" w:hAnsi="Times New Roman"/>
          <w:sz w:val="28"/>
          <w:szCs w:val="28"/>
          <w:lang w:val="uk-UA"/>
        </w:rPr>
        <w:t xml:space="preserve">значно менше граничної величини, визначеної в частині третій статті 18 Бюджетного кодексу України. </w:t>
      </w:r>
    </w:p>
    <w:p w:rsidR="003D731F" w:rsidRPr="00BD18A7" w:rsidRDefault="003D731F" w:rsidP="0077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3BE" w:rsidRPr="00BD18A7" w:rsidRDefault="00B173BE" w:rsidP="00375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18A7">
        <w:rPr>
          <w:rFonts w:ascii="Times New Roman" w:hAnsi="Times New Roman"/>
          <w:b/>
          <w:sz w:val="28"/>
          <w:szCs w:val="28"/>
          <w:lang w:val="uk-UA"/>
        </w:rPr>
        <w:t>. Співпраця з рейтинговими агентствами</w:t>
      </w:r>
    </w:p>
    <w:p w:rsidR="00375F99" w:rsidRPr="00BD18A7" w:rsidRDefault="00375F99" w:rsidP="00375F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18A7" w:rsidRPr="00BD18A7" w:rsidRDefault="00BD18A7" w:rsidP="00BD18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Сумська міська рада та її виконавчі органи при реалізації програм розвитку Сумської міської територіальної громади, пов’язаних з розвитком інфраструктури, активно працюють у напрямку залучення позикових коштів, і цей факт обумовлює необхідність наявності кредитного рейтингу.</w:t>
      </w:r>
    </w:p>
    <w:p w:rsidR="00BD18A7" w:rsidRPr="00BD18A7" w:rsidRDefault="00BD18A7" w:rsidP="00BD18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Наявність кредитного рейтингу є ефективним механізмом зниження рівня недовіри, яке спостерігається у сучасних умовах між учасниками фінансового ринку, а також сприяє підвищенню рівня розкриття інформації про потенційних позичальників.</w:t>
      </w:r>
    </w:p>
    <w:p w:rsidR="00BD18A7" w:rsidRPr="00BD18A7" w:rsidRDefault="00BD18A7" w:rsidP="00BD18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Завдяки досить стабільній роботі підприємств різних галузей економіки Сумська міська територіальна громада має високі соціально-економічні показники розвитку, про що свідчать оновлені за підсумками І півріччя 2021 року кредитний рейтинг Сумської міської територіальної громади на рівні </w:t>
      </w:r>
      <w:proofErr w:type="spellStart"/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uaА</w:t>
      </w:r>
      <w:proofErr w:type="spellEnd"/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 прогнозом «у розвитку»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рейтинг інвестиційної привабливості на рівні </w:t>
      </w:r>
      <w:proofErr w:type="spellStart"/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invА</w:t>
      </w:r>
      <w:proofErr w:type="spellEnd"/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–. Кредитний рейтинг та рейтинг інвестиційної привабливості міста </w:t>
      </w: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Суми  проведено ТОВ «Рейтингове агентство «IBI-Рейтинг» (дані рейтинги оновлюються </w:t>
      </w:r>
      <w:proofErr w:type="spellStart"/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щопівроку</w:t>
      </w:r>
      <w:proofErr w:type="spellEnd"/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BD18A7" w:rsidRPr="00BD18A7" w:rsidRDefault="00BD18A7" w:rsidP="00BD18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D1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проведення аналітичного дослідження при оновленні рейтингів використовуються, зокрема, наступні інформаційні матеріали: </w:t>
      </w:r>
      <w:r w:rsidRPr="00BD18A7">
        <w:rPr>
          <w:rFonts w:ascii="Times New Roman" w:hAnsi="Times New Roman"/>
          <w:sz w:val="28"/>
          <w:szCs w:val="28"/>
          <w:lang w:val="uk-UA"/>
        </w:rPr>
        <w:t>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 тощо.</w:t>
      </w:r>
    </w:p>
    <w:p w:rsidR="009547F8" w:rsidRPr="00BD18A7" w:rsidRDefault="009547F8" w:rsidP="009547F8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37E09" w:rsidRPr="00BD18A7" w:rsidRDefault="00E37E09" w:rsidP="009547F8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37E09" w:rsidRPr="00BD18A7" w:rsidRDefault="00E37E09" w:rsidP="009547F8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D18A7" w:rsidRPr="00BD18A7" w:rsidRDefault="00BD18A7" w:rsidP="00BD18A7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Департаменту                                         Л.І. </w:t>
      </w:r>
      <w:proofErr w:type="spellStart"/>
      <w:r w:rsidRPr="00BD18A7">
        <w:rPr>
          <w:rFonts w:ascii="Times New Roman" w:hAnsi="Times New Roman"/>
          <w:b/>
          <w:sz w:val="28"/>
          <w:szCs w:val="28"/>
          <w:lang w:val="uk-UA"/>
        </w:rPr>
        <w:t>Співакова</w:t>
      </w:r>
      <w:proofErr w:type="spellEnd"/>
    </w:p>
    <w:p w:rsidR="00BD18A7" w:rsidRPr="00BD18A7" w:rsidRDefault="00BD18A7" w:rsidP="00BD18A7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uk-UA"/>
        </w:rPr>
        <w:t xml:space="preserve">фінансів, економіки та інвестицій </w:t>
      </w:r>
    </w:p>
    <w:p w:rsidR="00BD18A7" w:rsidRPr="00BD18A7" w:rsidRDefault="00BD18A7" w:rsidP="00BD18A7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uk-UA"/>
        </w:rPr>
        <w:t>Сумської міської ради</w:t>
      </w:r>
    </w:p>
    <w:p w:rsidR="00E37E09" w:rsidRPr="00BD18A7" w:rsidRDefault="00E37E09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E37E09" w:rsidRPr="00BD18A7" w:rsidRDefault="00E37E09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43A35" w:rsidRPr="00BD18A7" w:rsidRDefault="00243A35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BA4E1D" w:rsidRPr="00BD18A7" w:rsidRDefault="00BA4E1D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66552" w:rsidRPr="00BD18A7" w:rsidRDefault="00266552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66552" w:rsidRPr="00BD18A7" w:rsidRDefault="00266552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66552" w:rsidRPr="00BD18A7" w:rsidRDefault="00266552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E37E09" w:rsidRPr="00BD18A7" w:rsidRDefault="00E37E09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0E4711" w:rsidRPr="00E37E09" w:rsidRDefault="009547F8" w:rsidP="00E37E09">
      <w:pPr>
        <w:pStyle w:val="a3"/>
        <w:ind w:firstLine="709"/>
        <w:jc w:val="both"/>
        <w:rPr>
          <w:rFonts w:ascii="Times New Roman" w:hAnsi="Times New Roman"/>
          <w:bCs/>
          <w:sz w:val="18"/>
          <w:szCs w:val="18"/>
          <w:vertAlign w:val="superscript"/>
          <w:lang w:val="uk-UA"/>
        </w:rPr>
      </w:pPr>
      <w:r w:rsidRPr="00BD18A7">
        <w:rPr>
          <w:rFonts w:ascii="Times New Roman" w:hAnsi="Times New Roman"/>
          <w:bCs/>
          <w:sz w:val="18"/>
          <w:szCs w:val="18"/>
          <w:vertAlign w:val="superscript"/>
          <w:lang w:val="uk-UA"/>
        </w:rPr>
        <w:t xml:space="preserve">1 </w:t>
      </w:r>
      <w:r w:rsidR="00BD18A7" w:rsidRPr="00BD18A7">
        <w:rPr>
          <w:rFonts w:ascii="Times New Roman" w:hAnsi="Times New Roman"/>
          <w:sz w:val="20"/>
          <w:szCs w:val="20"/>
          <w:lang w:val="uk-UA"/>
        </w:rPr>
        <w:t>За інформацією національного рейтингового агентства «IBI-Рейтинг»,</w:t>
      </w:r>
      <w:r w:rsidR="00BD18A7" w:rsidRPr="00BD18A7">
        <w:rPr>
          <w:sz w:val="20"/>
          <w:szCs w:val="20"/>
          <w:lang w:val="uk-UA"/>
        </w:rPr>
        <w:t xml:space="preserve"> </w:t>
      </w:r>
      <w:r w:rsidR="00BD18A7" w:rsidRPr="00BD18A7">
        <w:rPr>
          <w:rFonts w:ascii="Times New Roman" w:hAnsi="Times New Roman"/>
          <w:sz w:val="20"/>
          <w:szCs w:val="20"/>
          <w:lang w:val="uk-UA"/>
        </w:rPr>
        <w:t xml:space="preserve">рівень </w:t>
      </w:r>
      <w:proofErr w:type="spellStart"/>
      <w:r w:rsidR="00BD18A7" w:rsidRPr="00BD18A7">
        <w:rPr>
          <w:rFonts w:ascii="Times New Roman" w:hAnsi="Times New Roman"/>
          <w:sz w:val="20"/>
          <w:szCs w:val="20"/>
          <w:lang w:val="uk-UA"/>
        </w:rPr>
        <w:t>uaА</w:t>
      </w:r>
      <w:proofErr w:type="spellEnd"/>
      <w:r w:rsidR="00BD18A7" w:rsidRPr="00BD18A7">
        <w:rPr>
          <w:rFonts w:ascii="Times New Roman" w:hAnsi="Times New Roman"/>
          <w:sz w:val="20"/>
          <w:szCs w:val="20"/>
          <w:lang w:val="uk-UA"/>
        </w:rPr>
        <w:t xml:space="preserve">- з прогнозом           «у розвитку» вказує на високу вірогідність зміни кредитного рейтингу протягом року, в даний час застосовується до усіх суб’єктів </w:t>
      </w:r>
      <w:proofErr w:type="spellStart"/>
      <w:r w:rsidR="00BD18A7" w:rsidRPr="00BD18A7">
        <w:rPr>
          <w:rFonts w:ascii="Times New Roman" w:hAnsi="Times New Roman"/>
          <w:sz w:val="20"/>
          <w:szCs w:val="20"/>
          <w:lang w:val="uk-UA"/>
        </w:rPr>
        <w:t>рейтингування</w:t>
      </w:r>
      <w:proofErr w:type="spellEnd"/>
      <w:r w:rsidR="00BD18A7" w:rsidRPr="00BD18A7">
        <w:rPr>
          <w:rFonts w:ascii="Times New Roman" w:hAnsi="Times New Roman"/>
          <w:sz w:val="20"/>
          <w:szCs w:val="20"/>
          <w:lang w:val="uk-UA"/>
        </w:rPr>
        <w:t>. Він обумовлений невизначеністю дій органів влади і господарюючих суб’єктів у разі загострення епідеміологічної ситуації в Україні та світі.</w:t>
      </w:r>
    </w:p>
    <w:sectPr w:rsidR="000E4711" w:rsidRPr="00E37E09" w:rsidSect="00EA5DEB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C3" w:rsidRDefault="00E05CC3" w:rsidP="00E05CC3">
      <w:pPr>
        <w:spacing w:after="0" w:line="240" w:lineRule="auto"/>
      </w:pPr>
      <w:r>
        <w:separator/>
      </w:r>
    </w:p>
  </w:endnote>
  <w:endnote w:type="continuationSeparator" w:id="0">
    <w:p w:rsidR="00E05CC3" w:rsidRDefault="00E05CC3" w:rsidP="00E0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289437"/>
      <w:docPartObj>
        <w:docPartGallery w:val="Page Numbers (Bottom of Page)"/>
        <w:docPartUnique/>
      </w:docPartObj>
    </w:sdtPr>
    <w:sdtEndPr/>
    <w:sdtContent>
      <w:p w:rsidR="00E05CC3" w:rsidRDefault="00E05C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19">
          <w:rPr>
            <w:noProof/>
          </w:rPr>
          <w:t>3</w:t>
        </w:r>
        <w:r>
          <w:fldChar w:fldCharType="end"/>
        </w:r>
      </w:p>
    </w:sdtContent>
  </w:sdt>
  <w:p w:rsidR="00E05CC3" w:rsidRDefault="00E05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C3" w:rsidRDefault="00E05CC3" w:rsidP="00E05CC3">
      <w:pPr>
        <w:spacing w:after="0" w:line="240" w:lineRule="auto"/>
      </w:pPr>
      <w:r>
        <w:separator/>
      </w:r>
    </w:p>
  </w:footnote>
  <w:footnote w:type="continuationSeparator" w:id="0">
    <w:p w:rsidR="00E05CC3" w:rsidRDefault="00E05CC3" w:rsidP="00E0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158"/>
    <w:multiLevelType w:val="hybridMultilevel"/>
    <w:tmpl w:val="5B5C4A78"/>
    <w:lvl w:ilvl="0" w:tplc="C7A46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A5968"/>
    <w:multiLevelType w:val="hybridMultilevel"/>
    <w:tmpl w:val="78167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5CF3"/>
    <w:multiLevelType w:val="hybridMultilevel"/>
    <w:tmpl w:val="36A48EAA"/>
    <w:lvl w:ilvl="0" w:tplc="3B4E6E4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7F52CE"/>
    <w:multiLevelType w:val="hybridMultilevel"/>
    <w:tmpl w:val="C186B5F6"/>
    <w:lvl w:ilvl="0" w:tplc="A4F4BC8C">
      <w:numFmt w:val="bullet"/>
      <w:lvlText w:val="–"/>
      <w:lvlJc w:val="left"/>
      <w:pPr>
        <w:tabs>
          <w:tab w:val="num" w:pos="3562"/>
        </w:tabs>
        <w:ind w:left="3562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9763C75"/>
    <w:multiLevelType w:val="hybridMultilevel"/>
    <w:tmpl w:val="4FA26256"/>
    <w:lvl w:ilvl="0" w:tplc="E902912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2B68B3"/>
    <w:multiLevelType w:val="hybridMultilevel"/>
    <w:tmpl w:val="ADA8846C"/>
    <w:lvl w:ilvl="0" w:tplc="C7A4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96735"/>
    <w:multiLevelType w:val="hybridMultilevel"/>
    <w:tmpl w:val="511877D0"/>
    <w:lvl w:ilvl="0" w:tplc="C7A465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952706"/>
    <w:multiLevelType w:val="hybridMultilevel"/>
    <w:tmpl w:val="D0805EF4"/>
    <w:lvl w:ilvl="0" w:tplc="E66C6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C362CC"/>
    <w:multiLevelType w:val="hybridMultilevel"/>
    <w:tmpl w:val="09487B86"/>
    <w:lvl w:ilvl="0" w:tplc="F26805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062A38"/>
    <w:multiLevelType w:val="hybridMultilevel"/>
    <w:tmpl w:val="3BC0898A"/>
    <w:lvl w:ilvl="0" w:tplc="3A540BE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46A13D5"/>
    <w:multiLevelType w:val="hybridMultilevel"/>
    <w:tmpl w:val="06B2384A"/>
    <w:lvl w:ilvl="0" w:tplc="C7A4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F5F80"/>
    <w:multiLevelType w:val="hybridMultilevel"/>
    <w:tmpl w:val="D3A4F868"/>
    <w:lvl w:ilvl="0" w:tplc="3A540BE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7B"/>
    <w:rsid w:val="00003BC9"/>
    <w:rsid w:val="00013664"/>
    <w:rsid w:val="00020902"/>
    <w:rsid w:val="000548B4"/>
    <w:rsid w:val="00060E69"/>
    <w:rsid w:val="00060FD3"/>
    <w:rsid w:val="0007303C"/>
    <w:rsid w:val="00092D0A"/>
    <w:rsid w:val="000B3D84"/>
    <w:rsid w:val="000C44AB"/>
    <w:rsid w:val="000C4C8C"/>
    <w:rsid w:val="000D3EF0"/>
    <w:rsid w:val="000E3F36"/>
    <w:rsid w:val="000E4711"/>
    <w:rsid w:val="000E5DE2"/>
    <w:rsid w:val="000F68CF"/>
    <w:rsid w:val="00125917"/>
    <w:rsid w:val="001316A6"/>
    <w:rsid w:val="00137E90"/>
    <w:rsid w:val="00164C7B"/>
    <w:rsid w:val="001842FA"/>
    <w:rsid w:val="001A202C"/>
    <w:rsid w:val="001C4E45"/>
    <w:rsid w:val="001D5046"/>
    <w:rsid w:val="001E2871"/>
    <w:rsid w:val="001F3647"/>
    <w:rsid w:val="00211065"/>
    <w:rsid w:val="002110DB"/>
    <w:rsid w:val="00213C09"/>
    <w:rsid w:val="00217DED"/>
    <w:rsid w:val="00243A35"/>
    <w:rsid w:val="00252EB3"/>
    <w:rsid w:val="002643C3"/>
    <w:rsid w:val="00266552"/>
    <w:rsid w:val="00276786"/>
    <w:rsid w:val="00292294"/>
    <w:rsid w:val="002935BF"/>
    <w:rsid w:val="0029627E"/>
    <w:rsid w:val="002A3CA0"/>
    <w:rsid w:val="002B14D5"/>
    <w:rsid w:val="00301868"/>
    <w:rsid w:val="00305BD6"/>
    <w:rsid w:val="00322DD9"/>
    <w:rsid w:val="00330BB5"/>
    <w:rsid w:val="0035002A"/>
    <w:rsid w:val="00353D5F"/>
    <w:rsid w:val="00353E7B"/>
    <w:rsid w:val="00375F99"/>
    <w:rsid w:val="00377C86"/>
    <w:rsid w:val="003A792E"/>
    <w:rsid w:val="003B61E0"/>
    <w:rsid w:val="003C5146"/>
    <w:rsid w:val="003D5429"/>
    <w:rsid w:val="003D731F"/>
    <w:rsid w:val="003F072C"/>
    <w:rsid w:val="003F7333"/>
    <w:rsid w:val="00400EEA"/>
    <w:rsid w:val="00404EE7"/>
    <w:rsid w:val="0041674D"/>
    <w:rsid w:val="004358E0"/>
    <w:rsid w:val="00453E1D"/>
    <w:rsid w:val="00456AE5"/>
    <w:rsid w:val="00465719"/>
    <w:rsid w:val="00482915"/>
    <w:rsid w:val="00490508"/>
    <w:rsid w:val="00494485"/>
    <w:rsid w:val="004B3C8C"/>
    <w:rsid w:val="004B4859"/>
    <w:rsid w:val="004C750B"/>
    <w:rsid w:val="004D3441"/>
    <w:rsid w:val="004E01CA"/>
    <w:rsid w:val="004F7651"/>
    <w:rsid w:val="005141E1"/>
    <w:rsid w:val="00537F68"/>
    <w:rsid w:val="005A29E9"/>
    <w:rsid w:val="005B0EF7"/>
    <w:rsid w:val="005B4610"/>
    <w:rsid w:val="005C2D38"/>
    <w:rsid w:val="005D45B1"/>
    <w:rsid w:val="005D4B17"/>
    <w:rsid w:val="005F102F"/>
    <w:rsid w:val="00600A99"/>
    <w:rsid w:val="00612E9A"/>
    <w:rsid w:val="0061488D"/>
    <w:rsid w:val="00623C91"/>
    <w:rsid w:val="00650A86"/>
    <w:rsid w:val="006609E3"/>
    <w:rsid w:val="0066714C"/>
    <w:rsid w:val="00672D8A"/>
    <w:rsid w:val="00690A4F"/>
    <w:rsid w:val="00695D7E"/>
    <w:rsid w:val="006F4EAD"/>
    <w:rsid w:val="00711B56"/>
    <w:rsid w:val="00732D32"/>
    <w:rsid w:val="00732E56"/>
    <w:rsid w:val="00766026"/>
    <w:rsid w:val="00766980"/>
    <w:rsid w:val="00770D43"/>
    <w:rsid w:val="007754BD"/>
    <w:rsid w:val="007816A3"/>
    <w:rsid w:val="00792D16"/>
    <w:rsid w:val="007A7C60"/>
    <w:rsid w:val="007C4EB2"/>
    <w:rsid w:val="007E1B65"/>
    <w:rsid w:val="007E1F61"/>
    <w:rsid w:val="007E20EF"/>
    <w:rsid w:val="007E56CD"/>
    <w:rsid w:val="00813DC5"/>
    <w:rsid w:val="00821D2C"/>
    <w:rsid w:val="00822D3D"/>
    <w:rsid w:val="00842976"/>
    <w:rsid w:val="0086386A"/>
    <w:rsid w:val="00881858"/>
    <w:rsid w:val="008C1A7F"/>
    <w:rsid w:val="008C7BBD"/>
    <w:rsid w:val="008E4698"/>
    <w:rsid w:val="008F266A"/>
    <w:rsid w:val="009279AD"/>
    <w:rsid w:val="009513C6"/>
    <w:rsid w:val="009547F8"/>
    <w:rsid w:val="009574B2"/>
    <w:rsid w:val="0098247F"/>
    <w:rsid w:val="009A4C98"/>
    <w:rsid w:val="009B5FC2"/>
    <w:rsid w:val="009D3154"/>
    <w:rsid w:val="00A014F7"/>
    <w:rsid w:val="00A022AC"/>
    <w:rsid w:val="00A04371"/>
    <w:rsid w:val="00A123ED"/>
    <w:rsid w:val="00A2197B"/>
    <w:rsid w:val="00A40E19"/>
    <w:rsid w:val="00A50FEA"/>
    <w:rsid w:val="00A52C17"/>
    <w:rsid w:val="00A674EA"/>
    <w:rsid w:val="00A71009"/>
    <w:rsid w:val="00A818CD"/>
    <w:rsid w:val="00A81CD9"/>
    <w:rsid w:val="00A8259A"/>
    <w:rsid w:val="00A975B7"/>
    <w:rsid w:val="00AB35D6"/>
    <w:rsid w:val="00AC7D17"/>
    <w:rsid w:val="00AE251C"/>
    <w:rsid w:val="00B13BE5"/>
    <w:rsid w:val="00B1459D"/>
    <w:rsid w:val="00B173BE"/>
    <w:rsid w:val="00B4049C"/>
    <w:rsid w:val="00B54381"/>
    <w:rsid w:val="00B606A2"/>
    <w:rsid w:val="00B64625"/>
    <w:rsid w:val="00B76C19"/>
    <w:rsid w:val="00BA4E1D"/>
    <w:rsid w:val="00BB1C98"/>
    <w:rsid w:val="00BB46E9"/>
    <w:rsid w:val="00BC20DB"/>
    <w:rsid w:val="00BD18A7"/>
    <w:rsid w:val="00BE4B28"/>
    <w:rsid w:val="00C1597F"/>
    <w:rsid w:val="00C34E1E"/>
    <w:rsid w:val="00C43046"/>
    <w:rsid w:val="00C430FF"/>
    <w:rsid w:val="00C4612D"/>
    <w:rsid w:val="00C534DE"/>
    <w:rsid w:val="00C5636F"/>
    <w:rsid w:val="00C74235"/>
    <w:rsid w:val="00C86C8F"/>
    <w:rsid w:val="00C947B6"/>
    <w:rsid w:val="00CC4904"/>
    <w:rsid w:val="00CD65E7"/>
    <w:rsid w:val="00D006C3"/>
    <w:rsid w:val="00D2102C"/>
    <w:rsid w:val="00D32F33"/>
    <w:rsid w:val="00D43A5D"/>
    <w:rsid w:val="00DA349E"/>
    <w:rsid w:val="00DC3C99"/>
    <w:rsid w:val="00DD29AD"/>
    <w:rsid w:val="00DD318B"/>
    <w:rsid w:val="00DE5C41"/>
    <w:rsid w:val="00E05CC3"/>
    <w:rsid w:val="00E34483"/>
    <w:rsid w:val="00E37E09"/>
    <w:rsid w:val="00E719A6"/>
    <w:rsid w:val="00E83EA1"/>
    <w:rsid w:val="00E91722"/>
    <w:rsid w:val="00EA5DEB"/>
    <w:rsid w:val="00EC43D2"/>
    <w:rsid w:val="00EC48A8"/>
    <w:rsid w:val="00F20848"/>
    <w:rsid w:val="00F3048B"/>
    <w:rsid w:val="00F41002"/>
    <w:rsid w:val="00F47C95"/>
    <w:rsid w:val="00F62A36"/>
    <w:rsid w:val="00FB2C56"/>
    <w:rsid w:val="00FC45BB"/>
    <w:rsid w:val="00FC7B9B"/>
    <w:rsid w:val="00FE2939"/>
    <w:rsid w:val="00FE6D96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85AD4D"/>
  <w15:chartTrackingRefBased/>
  <w15:docId w15:val="{1FE1543A-F32B-4186-83F9-4B69EC8D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E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5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B173B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A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5C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C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5C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CC3"/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37E90"/>
    <w:pPr>
      <w:ind w:left="720"/>
      <w:contextualSpacing/>
    </w:pPr>
  </w:style>
  <w:style w:type="paragraph" w:customStyle="1" w:styleId="ac">
    <w:name w:val="Нормальний текст"/>
    <w:basedOn w:val="a"/>
    <w:uiPriority w:val="99"/>
    <w:rsid w:val="00BB46E9"/>
    <w:pPr>
      <w:spacing w:before="120" w:after="0" w:line="240" w:lineRule="auto"/>
      <w:ind w:firstLine="567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85FD-63A7-4E4A-99CC-2F6C6F5B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Катерина Володимирівна</dc:creator>
  <cp:keywords/>
  <dc:description/>
  <cp:lastModifiedBy>Темченко Аліна Русланівна</cp:lastModifiedBy>
  <cp:revision>9</cp:revision>
  <cp:lastPrinted>2022-02-08T12:35:00Z</cp:lastPrinted>
  <dcterms:created xsi:type="dcterms:W3CDTF">2022-02-04T06:26:00Z</dcterms:created>
  <dcterms:modified xsi:type="dcterms:W3CDTF">2022-02-08T12:37:00Z</dcterms:modified>
</cp:coreProperties>
</file>