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4" w:type="dxa"/>
        <w:jc w:val="center"/>
        <w:tblLayout w:type="fixed"/>
        <w:tblLook w:val="01E0" w:firstRow="1" w:lastRow="1" w:firstColumn="1" w:lastColumn="1" w:noHBand="0" w:noVBand="0"/>
      </w:tblPr>
      <w:tblGrid>
        <w:gridCol w:w="4175"/>
        <w:gridCol w:w="222"/>
        <w:gridCol w:w="990"/>
        <w:gridCol w:w="286"/>
        <w:gridCol w:w="4088"/>
        <w:gridCol w:w="23"/>
      </w:tblGrid>
      <w:tr w:rsidR="00DB1C49" w:rsidRPr="00C5700F" w14:paraId="52591319" w14:textId="77777777" w:rsidTr="00DB1C49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576C9554" w14:textId="77777777" w:rsidR="00DB1C49" w:rsidRPr="00C5700F" w:rsidRDefault="00DB1C49" w:rsidP="001A1AF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</w:pPr>
          </w:p>
        </w:tc>
        <w:tc>
          <w:tcPr>
            <w:tcW w:w="1212" w:type="dxa"/>
            <w:gridSpan w:val="2"/>
            <w:shd w:val="clear" w:color="auto" w:fill="auto"/>
          </w:tcPr>
          <w:p w14:paraId="7BA98E21" w14:textId="77777777" w:rsidR="00DB1C49" w:rsidRPr="00C5700F" w:rsidRDefault="00DB1C49" w:rsidP="001A1AF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</w:pPr>
            <w:r w:rsidRPr="00AA7EFC">
              <w:rPr>
                <w:noProof/>
                <w:lang w:val="en-US" w:eastAsia="en-US"/>
              </w:rPr>
              <w:drawing>
                <wp:inline distT="0" distB="0" distL="0" distR="0" wp14:anchorId="041F2710" wp14:editId="3A2A3933">
                  <wp:extent cx="431800" cy="59245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32BE874B" w14:textId="77777777" w:rsidR="00DB1C49" w:rsidRPr="00C5700F" w:rsidRDefault="00DB1C49" w:rsidP="001A1AF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B1C49" w:rsidRPr="00C5700F" w14:paraId="67E7BADC" w14:textId="77777777" w:rsidTr="00DB1C49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3E3E9188" w14:textId="77777777" w:rsidR="00DB1C49" w:rsidRPr="00D52A73" w:rsidRDefault="00DB1C49" w:rsidP="001A1AF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</w:rPr>
            </w:pPr>
          </w:p>
        </w:tc>
        <w:tc>
          <w:tcPr>
            <w:tcW w:w="1212" w:type="dxa"/>
            <w:gridSpan w:val="2"/>
            <w:shd w:val="clear" w:color="auto" w:fill="auto"/>
          </w:tcPr>
          <w:p w14:paraId="0161D405" w14:textId="77777777" w:rsidR="00DB1C49" w:rsidRPr="00D52A73" w:rsidRDefault="00DB1C49" w:rsidP="001A1AF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210F6D7B" w14:textId="77777777" w:rsidR="00DB1C49" w:rsidRPr="00C5700F" w:rsidRDefault="00DB1C49" w:rsidP="001A1AF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</w:rPr>
            </w:pPr>
          </w:p>
        </w:tc>
      </w:tr>
      <w:tr w:rsidR="00DB1C49" w:rsidRPr="00C5700F" w14:paraId="6B0D1EDF" w14:textId="77777777" w:rsidTr="00DB1C49">
        <w:trPr>
          <w:gridAfter w:val="1"/>
          <w:wAfter w:w="19" w:type="dxa"/>
          <w:jc w:val="center"/>
        </w:trPr>
        <w:tc>
          <w:tcPr>
            <w:tcW w:w="9765" w:type="dxa"/>
            <w:gridSpan w:val="5"/>
            <w:shd w:val="clear" w:color="auto" w:fill="auto"/>
          </w:tcPr>
          <w:p w14:paraId="3FF87196" w14:textId="77777777" w:rsidR="00DB1C49" w:rsidRPr="00C5700F" w:rsidRDefault="00DB1C49" w:rsidP="001A1AF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5700F">
              <w:rPr>
                <w:sz w:val="32"/>
                <w:szCs w:val="32"/>
              </w:rPr>
              <w:t xml:space="preserve">СУМСЬКА МІСЬКА ВІЙСЬКОВА АДМІНІСТРАЦІЯ </w:t>
            </w:r>
          </w:p>
          <w:p w14:paraId="392A599D" w14:textId="77777777" w:rsidR="00DB1C49" w:rsidRPr="00663BB7" w:rsidRDefault="00DB1C49" w:rsidP="001A1AFA">
            <w:pPr>
              <w:jc w:val="center"/>
              <w:rPr>
                <w:sz w:val="32"/>
                <w:szCs w:val="32"/>
              </w:rPr>
            </w:pPr>
            <w:r w:rsidRPr="00C5700F">
              <w:rPr>
                <w:sz w:val="32"/>
                <w:szCs w:val="32"/>
              </w:rPr>
              <w:t xml:space="preserve">СУМСЬКОГО РАЙОНУ СУМСЬКОЇ ОБЛАСТІ </w:t>
            </w:r>
            <w:r>
              <w:rPr>
                <w:b/>
                <w:sz w:val="40"/>
                <w:szCs w:val="40"/>
              </w:rPr>
              <w:t xml:space="preserve">     </w:t>
            </w:r>
          </w:p>
          <w:p w14:paraId="28BCB8E0" w14:textId="77777777" w:rsidR="00DB1C49" w:rsidRPr="00C5700F" w:rsidRDefault="00DB1C49" w:rsidP="001A1AFA">
            <w:pPr>
              <w:pStyle w:val="a7"/>
              <w:jc w:val="center"/>
              <w:outlineLvl w:val="0"/>
              <w:rPr>
                <w:b w:val="0"/>
                <w:sz w:val="40"/>
                <w:szCs w:val="40"/>
                <w:lang w:val="ru-RU"/>
              </w:rPr>
            </w:pPr>
            <w:r>
              <w:rPr>
                <w:szCs w:val="32"/>
                <w:lang w:val="ru-RU"/>
              </w:rPr>
              <w:t>РОЗПОРЯДЖЕННЯ</w:t>
            </w:r>
          </w:p>
        </w:tc>
      </w:tr>
      <w:tr w:rsidR="00DB1C49" w:rsidRPr="00C5700F" w14:paraId="7B805128" w14:textId="77777777" w:rsidTr="00DB1C49">
        <w:trPr>
          <w:gridAfter w:val="1"/>
          <w:wAfter w:w="19" w:type="dxa"/>
          <w:jc w:val="center"/>
        </w:trPr>
        <w:tc>
          <w:tcPr>
            <w:tcW w:w="9765" w:type="dxa"/>
            <w:gridSpan w:val="5"/>
            <w:shd w:val="clear" w:color="auto" w:fill="auto"/>
          </w:tcPr>
          <w:p w14:paraId="7166455F" w14:textId="77777777" w:rsidR="00DB1C49" w:rsidRPr="00C5700F" w:rsidRDefault="00DB1C49" w:rsidP="001A1AF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</w:rPr>
            </w:pPr>
          </w:p>
        </w:tc>
      </w:tr>
      <w:tr w:rsidR="00DB1C49" w:rsidRPr="00C5700F" w14:paraId="7E43DBAE" w14:textId="77777777" w:rsidTr="00DB1C49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04B67148" w14:textId="77777777" w:rsidR="00DB1C49" w:rsidRDefault="00226353" w:rsidP="001A1AFA">
            <w:pPr>
              <w:widowControl w:val="0"/>
              <w:autoSpaceDE w:val="0"/>
              <w:autoSpaceDN w:val="0"/>
              <w:adjustRightInd w:val="0"/>
            </w:pPr>
            <w:r>
              <w:t>27.09.2024</w:t>
            </w:r>
          </w:p>
          <w:p w14:paraId="66249379" w14:textId="77777777" w:rsidR="00DB1C49" w:rsidRPr="00C5700F" w:rsidRDefault="00DB1C49" w:rsidP="001A1AF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43A6B44" w14:textId="77777777" w:rsidR="00DB1C49" w:rsidRDefault="00DB1C49" w:rsidP="001A1AFA">
            <w:pPr>
              <w:widowControl w:val="0"/>
              <w:autoSpaceDE w:val="0"/>
              <w:autoSpaceDN w:val="0"/>
              <w:adjustRightInd w:val="0"/>
              <w:ind w:left="12"/>
            </w:pPr>
            <w:r>
              <w:t>м. Суми</w:t>
            </w:r>
          </w:p>
          <w:p w14:paraId="7031CF2A" w14:textId="77777777" w:rsidR="00DB1C49" w:rsidRPr="00C5700F" w:rsidRDefault="00DB1C49" w:rsidP="001A1AF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</w:pPr>
          </w:p>
        </w:tc>
        <w:tc>
          <w:tcPr>
            <w:tcW w:w="4113" w:type="dxa"/>
            <w:gridSpan w:val="2"/>
            <w:shd w:val="clear" w:color="auto" w:fill="auto"/>
          </w:tcPr>
          <w:p w14:paraId="41E578B1" w14:textId="77777777" w:rsidR="00DB1C49" w:rsidRDefault="00DB1C49" w:rsidP="001A1AFA">
            <w:pPr>
              <w:widowControl w:val="0"/>
              <w:autoSpaceDE w:val="0"/>
              <w:autoSpaceDN w:val="0"/>
              <w:adjustRightInd w:val="0"/>
              <w:ind w:left="1449"/>
            </w:pPr>
            <w:r w:rsidRPr="00C5700F">
              <w:t xml:space="preserve">№ </w:t>
            </w:r>
            <w:r w:rsidR="00226353">
              <w:t>361-ВКВА</w:t>
            </w:r>
            <w:r>
              <w:t xml:space="preserve"> </w:t>
            </w:r>
            <w:r w:rsidR="00A218AB">
              <w:t xml:space="preserve"> </w:t>
            </w:r>
          </w:p>
          <w:p w14:paraId="1B53F0A6" w14:textId="77777777" w:rsidR="00DB1C49" w:rsidRPr="00C5700F" w:rsidRDefault="00DB1C49" w:rsidP="001A1AF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</w:pPr>
          </w:p>
        </w:tc>
      </w:tr>
      <w:tr w:rsidR="00B57FDF" w:rsidRPr="0047256E" w14:paraId="471F6594" w14:textId="77777777" w:rsidTr="00DB1C49">
        <w:tblPrEx>
          <w:jc w:val="left"/>
        </w:tblPrEx>
        <w:trPr>
          <w:gridAfter w:val="4"/>
          <w:wAfter w:w="5385" w:type="dxa"/>
          <w:trHeight w:val="1352"/>
        </w:trPr>
        <w:tc>
          <w:tcPr>
            <w:tcW w:w="4399" w:type="dxa"/>
            <w:gridSpan w:val="2"/>
          </w:tcPr>
          <w:p w14:paraId="0C4F9814" w14:textId="77777777" w:rsidR="00B57FDF" w:rsidRPr="00B57FDF" w:rsidRDefault="00B57FDF" w:rsidP="001A1AFA">
            <w:pPr>
              <w:jc w:val="left"/>
              <w:rPr>
                <w:color w:val="000000"/>
              </w:rPr>
            </w:pPr>
            <w:r w:rsidRPr="00B57FDF">
              <w:rPr>
                <w:color w:val="000000"/>
              </w:rPr>
              <w:t xml:space="preserve">Про    забезпечення    складання проєкту    бюджету      Сумської </w:t>
            </w:r>
          </w:p>
          <w:p w14:paraId="6489E01A" w14:textId="77777777" w:rsidR="00B57FDF" w:rsidRPr="00B57FDF" w:rsidRDefault="00B57FDF" w:rsidP="001A1AFA">
            <w:pPr>
              <w:rPr>
                <w:color w:val="000000"/>
              </w:rPr>
            </w:pPr>
            <w:r w:rsidRPr="00B57FDF">
              <w:rPr>
                <w:color w:val="000000"/>
              </w:rPr>
              <w:t xml:space="preserve">міської територіальної громади </w:t>
            </w:r>
          </w:p>
          <w:p w14:paraId="18671F10" w14:textId="77777777" w:rsidR="00B57FDF" w:rsidRPr="0047256E" w:rsidRDefault="00B57FDF" w:rsidP="001A1AFA">
            <w:pPr>
              <w:rPr>
                <w:color w:val="FF0000"/>
                <w:u w:val="single"/>
              </w:rPr>
            </w:pPr>
            <w:r w:rsidRPr="00B57FDF">
              <w:rPr>
                <w:color w:val="000000"/>
              </w:rPr>
              <w:t xml:space="preserve">на </w:t>
            </w:r>
            <w:r w:rsidRPr="00B57FDF">
              <w:t>202</w:t>
            </w:r>
            <w:r w:rsidRPr="00B57FDF">
              <w:rPr>
                <w:lang w:val="ru-RU"/>
              </w:rPr>
              <w:t>5</w:t>
            </w:r>
            <w:r w:rsidRPr="00B57FDF">
              <w:t xml:space="preserve"> рік</w:t>
            </w:r>
          </w:p>
        </w:tc>
      </w:tr>
    </w:tbl>
    <w:p w14:paraId="1A88C485" w14:textId="77777777" w:rsidR="00B57FDF" w:rsidRDefault="00B57FDF" w:rsidP="00F64B6F">
      <w:pPr>
        <w:autoSpaceDE w:val="0"/>
        <w:ind w:firstLine="709"/>
      </w:pPr>
    </w:p>
    <w:p w14:paraId="0BE7EF6C" w14:textId="77777777" w:rsidR="00F64B6F" w:rsidRPr="006F2BC6" w:rsidRDefault="00F64B6F" w:rsidP="00F64B6F">
      <w:pPr>
        <w:autoSpaceDE w:val="0"/>
        <w:ind w:firstLine="709"/>
        <w:rPr>
          <w:rStyle w:val="a8"/>
          <w:bCs/>
        </w:rPr>
      </w:pPr>
      <w:r w:rsidRPr="0047256E">
        <w:t>Відповідно до статті 75</w:t>
      </w:r>
      <w:r>
        <w:t>,</w:t>
      </w:r>
      <w:r w:rsidRPr="0047256E">
        <w:t xml:space="preserve"> </w:t>
      </w:r>
      <w:r w:rsidRPr="00F64B6F">
        <w:rPr>
          <w:rStyle w:val="a8"/>
          <w:sz w:val="28"/>
          <w:szCs w:val="28"/>
          <w:lang w:eastAsia="uk-UA"/>
        </w:rPr>
        <w:t xml:space="preserve">пункту 22 розділу </w:t>
      </w:r>
      <w:r w:rsidRPr="00F64B6F">
        <w:rPr>
          <w:bCs/>
          <w:iCs/>
          <w:lang w:val="en-US"/>
        </w:rPr>
        <w:t>VI</w:t>
      </w:r>
      <w:r w:rsidRPr="00F64B6F">
        <w:rPr>
          <w:bCs/>
          <w:iCs/>
        </w:rPr>
        <w:t xml:space="preserve"> «Пр</w:t>
      </w:r>
      <w:r w:rsidRPr="00F64B6F">
        <w:t>икінцеві та перехідні положення»</w:t>
      </w:r>
      <w:r w:rsidRPr="00CC3D5F">
        <w:t xml:space="preserve"> </w:t>
      </w:r>
      <w:r w:rsidRPr="0047256E">
        <w:t xml:space="preserve">Бюджетного кодексу України, </w:t>
      </w:r>
      <w:r w:rsidRPr="004016E3">
        <w:t>указ</w:t>
      </w:r>
      <w:r>
        <w:t>у</w:t>
      </w:r>
      <w:r w:rsidRPr="004016E3">
        <w:t xml:space="preserve"> Президента України від </w:t>
      </w:r>
      <w:r>
        <w:t xml:space="preserve">        </w:t>
      </w:r>
      <w:r w:rsidRPr="004016E3">
        <w:t>24 лютого 2022 року № 64/2022 «Про введення воєнного стану в Україні», затвердженого Законом України від 24 лютого 2022 року № 2102 – ІХ (зі змінами)</w:t>
      </w:r>
      <w:r>
        <w:t xml:space="preserve">, </w:t>
      </w:r>
      <w:r w:rsidRPr="00CC0434">
        <w:t>постанов</w:t>
      </w:r>
      <w:r>
        <w:t>и</w:t>
      </w:r>
      <w:r w:rsidRPr="00CC0434">
        <w:t xml:space="preserve"> Кабінету Міністрів України від</w:t>
      </w:r>
      <w:r>
        <w:t xml:space="preserve">  </w:t>
      </w:r>
      <w:r w:rsidRPr="00CC0434">
        <w:t>11 березня 2022 р. № 252 «Деякі питання формування та виконання місцевих бюджетів у період воєнного стану»</w:t>
      </w:r>
      <w:r w:rsidRPr="009D089A">
        <w:t xml:space="preserve"> </w:t>
      </w:r>
      <w:r w:rsidRPr="004016E3">
        <w:t>(зі змінами)</w:t>
      </w:r>
      <w:r>
        <w:t>,</w:t>
      </w:r>
      <w:r>
        <w:rPr>
          <w:rStyle w:val="a8"/>
          <w:lang w:eastAsia="uk-UA"/>
        </w:rPr>
        <w:t xml:space="preserve"> </w:t>
      </w:r>
      <w:r w:rsidR="00B71C4C" w:rsidRPr="00740F6F">
        <w:rPr>
          <w:rStyle w:val="a8"/>
          <w:sz w:val="28"/>
          <w:szCs w:val="28"/>
          <w:lang w:eastAsia="uk-UA"/>
        </w:rPr>
        <w:t>підпункту</w:t>
      </w:r>
      <w:r w:rsidR="00B71C4C">
        <w:rPr>
          <w:rStyle w:val="a8"/>
          <w:lang w:eastAsia="uk-UA"/>
        </w:rPr>
        <w:t xml:space="preserve"> </w:t>
      </w:r>
      <w:r w:rsidR="00B71C4C" w:rsidRPr="0047256E">
        <w:t>2.2.1 пункту 2.2 розділу ІІ Положення про Департамент фінансів, економіки та інвестицій Сумської міської ради</w:t>
      </w:r>
      <w:r w:rsidR="00B71C4C">
        <w:t xml:space="preserve"> (нова редакція)</w:t>
      </w:r>
      <w:r w:rsidR="00B71C4C" w:rsidRPr="0047256E">
        <w:t xml:space="preserve">, затвердженого рішенням Сумської міської ради від </w:t>
      </w:r>
      <w:r w:rsidR="00B71C4C">
        <w:t>10</w:t>
      </w:r>
      <w:r w:rsidR="00B71C4C" w:rsidRPr="0047256E">
        <w:t xml:space="preserve"> </w:t>
      </w:r>
      <w:r w:rsidR="00B71C4C">
        <w:t>квітня</w:t>
      </w:r>
      <w:r w:rsidR="00B71C4C" w:rsidRPr="0047256E">
        <w:t xml:space="preserve"> 202</w:t>
      </w:r>
      <w:r w:rsidR="00B71C4C">
        <w:t xml:space="preserve">4 </w:t>
      </w:r>
      <w:r w:rsidR="00B71C4C" w:rsidRPr="0047256E">
        <w:t>року</w:t>
      </w:r>
      <w:r w:rsidR="00B71C4C">
        <w:t xml:space="preserve"> </w:t>
      </w:r>
      <w:r w:rsidR="00B71C4C" w:rsidRPr="0047256E">
        <w:t xml:space="preserve">№ </w:t>
      </w:r>
      <w:r w:rsidR="00B71C4C">
        <w:t>470</w:t>
      </w:r>
      <w:r w:rsidR="00B71C4C" w:rsidRPr="0047256E">
        <w:t>3 – МР</w:t>
      </w:r>
      <w:r w:rsidR="00B71C4C" w:rsidRPr="00B71C4C">
        <w:t>,</w:t>
      </w:r>
      <w:r w:rsidRPr="00B71C4C">
        <w:rPr>
          <w:rStyle w:val="a8"/>
          <w:lang w:eastAsia="uk-UA"/>
        </w:rPr>
        <w:t xml:space="preserve"> </w:t>
      </w:r>
      <w:r w:rsidRPr="00B71C4C">
        <w:rPr>
          <w:rStyle w:val="a8"/>
          <w:sz w:val="28"/>
          <w:szCs w:val="28"/>
          <w:lang w:eastAsia="uk-UA"/>
        </w:rPr>
        <w:t>враховуючи лист Міністерства фінансів України від 30.08.2024 № 05110-08-6/25333 «Про особливості складання проєктів місцевих бюджетів на 2025 рік»,</w:t>
      </w:r>
      <w:r>
        <w:rPr>
          <w:rStyle w:val="a8"/>
          <w:lang w:eastAsia="uk-UA"/>
        </w:rPr>
        <w:t xml:space="preserve"> </w:t>
      </w:r>
      <w:r w:rsidRPr="00E621F5">
        <w:t>Методичн</w:t>
      </w:r>
      <w:r w:rsidR="00E76D2F">
        <w:t>і</w:t>
      </w:r>
      <w:r w:rsidRPr="00E621F5">
        <w:t xml:space="preserve"> рекомендаці</w:t>
      </w:r>
      <w:r w:rsidR="00E76D2F">
        <w:t>ї</w:t>
      </w:r>
      <w:r w:rsidRPr="00E621F5">
        <w:t xml:space="preserve"> щодо підготовки та затвердження Бюджетного регламенту проходження бюджет</w:t>
      </w:r>
      <w:r>
        <w:t xml:space="preserve">ного процесу на місцевому рівні, затвердженого </w:t>
      </w:r>
      <w:r w:rsidRPr="00E621F5">
        <w:t>наказ</w:t>
      </w:r>
      <w:r>
        <w:t>ом</w:t>
      </w:r>
      <w:r w:rsidRPr="00E621F5">
        <w:t xml:space="preserve"> Міністерства фінансів України від 31</w:t>
      </w:r>
      <w:r>
        <w:t>.05.</w:t>
      </w:r>
      <w:r w:rsidRPr="00E621F5">
        <w:t>2019 № 228</w:t>
      </w:r>
      <w:r w:rsidRPr="00F94F1C">
        <w:t xml:space="preserve">, з метою  належної організації роботи зі своєчасного складання </w:t>
      </w:r>
      <w:r w:rsidRPr="00F94F1C">
        <w:rPr>
          <w:color w:val="000000"/>
        </w:rPr>
        <w:t xml:space="preserve">проєкту бюджету Сумської міської територіальної громади </w:t>
      </w:r>
      <w:r w:rsidRPr="00F94F1C">
        <w:t>на 2025 рік в умовах воєнного стану, підвищення рівня відповідальності всіх учасників бюджетного процесу за його формування, забезпечення координації та узгодженості дій між ними, керуючись</w:t>
      </w:r>
      <w:r w:rsidRPr="00F94F1C">
        <w:rPr>
          <w:rStyle w:val="a8"/>
          <w:lang w:eastAsia="uk-UA"/>
        </w:rPr>
        <w:t xml:space="preserve"> </w:t>
      </w:r>
      <w:r w:rsidRPr="00F94F1C">
        <w:t>пунктом 5 частини другої  статті 15 Закону України «Про правовий режим</w:t>
      </w:r>
      <w:r w:rsidRPr="00CC0434">
        <w:t xml:space="preserve"> воєнного стану»</w:t>
      </w:r>
      <w:r w:rsidR="00626FC0">
        <w:t>:</w:t>
      </w:r>
      <w:r>
        <w:t xml:space="preserve"> </w:t>
      </w:r>
    </w:p>
    <w:p w14:paraId="5BD8B230" w14:textId="77777777" w:rsidR="00F64B6F" w:rsidRPr="006F2BC6" w:rsidRDefault="00F64B6F" w:rsidP="00F64B6F">
      <w:pPr>
        <w:rPr>
          <w:color w:val="FF0000"/>
        </w:rPr>
      </w:pPr>
    </w:p>
    <w:p w14:paraId="2338BEDF" w14:textId="77777777" w:rsidR="00F64B6F" w:rsidRPr="00DB1C49" w:rsidRDefault="00F64B6F" w:rsidP="00F64B6F">
      <w:pPr>
        <w:numPr>
          <w:ilvl w:val="0"/>
          <w:numId w:val="1"/>
        </w:numPr>
        <w:tabs>
          <w:tab w:val="left" w:pos="1140"/>
        </w:tabs>
        <w:ind w:left="0" w:firstLine="709"/>
      </w:pPr>
      <w:r w:rsidRPr="00DB1C49">
        <w:t xml:space="preserve">Затвердити План заходів щодо складання </w:t>
      </w:r>
      <w:r w:rsidRPr="00DB1C49">
        <w:rPr>
          <w:color w:val="000000"/>
        </w:rPr>
        <w:t>проє</w:t>
      </w:r>
      <w:r w:rsidRPr="00DB1C49">
        <w:t xml:space="preserve">кту бюджету Сумської міської територіальної громади на 2025 рік (далі – проєкт бюджету СМТГ) згідно з додатком 1 до цього </w:t>
      </w:r>
      <w:r w:rsidR="00626FC0">
        <w:t>розпорядження</w:t>
      </w:r>
      <w:r w:rsidRPr="00DB1C49">
        <w:t>.</w:t>
      </w:r>
    </w:p>
    <w:p w14:paraId="52FF25E9" w14:textId="77777777" w:rsidR="00F64B6F" w:rsidRPr="00DB1C49" w:rsidRDefault="00F64B6F" w:rsidP="00F64B6F">
      <w:pPr>
        <w:tabs>
          <w:tab w:val="left" w:pos="1140"/>
        </w:tabs>
        <w:ind w:left="709"/>
        <w:rPr>
          <w:sz w:val="16"/>
          <w:szCs w:val="16"/>
        </w:rPr>
      </w:pPr>
    </w:p>
    <w:p w14:paraId="215E3EA1" w14:textId="77777777" w:rsidR="00F64B6F" w:rsidRPr="00DB1C49" w:rsidRDefault="00F64B6F" w:rsidP="00F64B6F">
      <w:pPr>
        <w:numPr>
          <w:ilvl w:val="0"/>
          <w:numId w:val="1"/>
        </w:numPr>
        <w:tabs>
          <w:tab w:val="left" w:pos="1140"/>
        </w:tabs>
        <w:ind w:left="0" w:firstLine="709"/>
      </w:pPr>
      <w:r w:rsidRPr="00DB1C49">
        <w:t xml:space="preserve">Створити робочу групу з підготовки </w:t>
      </w:r>
      <w:r w:rsidRPr="00DB1C49">
        <w:rPr>
          <w:color w:val="000000"/>
        </w:rPr>
        <w:t>проє</w:t>
      </w:r>
      <w:r w:rsidRPr="00DB1C49">
        <w:t xml:space="preserve">кту бюджету Сумської міської територіальної громади на 2025 рік (далі – робоча група) та затвердити її склад згідно з додатком 2 до цього </w:t>
      </w:r>
      <w:r w:rsidR="00626FC0">
        <w:t>розпорядження</w:t>
      </w:r>
      <w:r w:rsidRPr="00DB1C49">
        <w:t xml:space="preserve">. </w:t>
      </w:r>
    </w:p>
    <w:p w14:paraId="379557F1" w14:textId="77777777" w:rsidR="00F64B6F" w:rsidRPr="00DB1C49" w:rsidRDefault="00F64B6F" w:rsidP="00F64B6F">
      <w:pPr>
        <w:pStyle w:val="a9"/>
      </w:pPr>
    </w:p>
    <w:p w14:paraId="775B8DE4" w14:textId="77777777" w:rsidR="00F64B6F" w:rsidRPr="00DB1C49" w:rsidRDefault="00F64B6F" w:rsidP="00F64B6F">
      <w:pPr>
        <w:numPr>
          <w:ilvl w:val="0"/>
          <w:numId w:val="1"/>
        </w:numPr>
        <w:tabs>
          <w:tab w:val="left" w:pos="1140"/>
        </w:tabs>
        <w:ind w:left="0" w:firstLine="709"/>
      </w:pPr>
      <w:r w:rsidRPr="00DB1C49">
        <w:lastRenderedPageBreak/>
        <w:t>Виконавчим органам Сумської міської ради та органам, що контролюють справляння надходжень</w:t>
      </w:r>
      <w:r w:rsidR="00647D5D">
        <w:t xml:space="preserve"> до бюджету СМТГ</w:t>
      </w:r>
      <w:r w:rsidRPr="00DB1C49">
        <w:t xml:space="preserve"> забезпечити виконання Плану заходів щодо складання проєкту бюджету Сумської міської територіальної громади      на 2025 рік. </w:t>
      </w:r>
    </w:p>
    <w:p w14:paraId="0E5F5FC3" w14:textId="77777777" w:rsidR="00F64B6F" w:rsidRPr="00DB1C49" w:rsidRDefault="00F64B6F" w:rsidP="00F64B6F">
      <w:pPr>
        <w:tabs>
          <w:tab w:val="left" w:pos="1140"/>
        </w:tabs>
        <w:ind w:left="709"/>
        <w:rPr>
          <w:sz w:val="16"/>
          <w:szCs w:val="16"/>
        </w:rPr>
      </w:pPr>
    </w:p>
    <w:p w14:paraId="7BE98019" w14:textId="77777777" w:rsidR="00F64B6F" w:rsidRPr="00DB1C49" w:rsidRDefault="00F64B6F" w:rsidP="00F64B6F">
      <w:pPr>
        <w:pStyle w:val="a5"/>
        <w:numPr>
          <w:ilvl w:val="0"/>
          <w:numId w:val="1"/>
        </w:numPr>
        <w:tabs>
          <w:tab w:val="left" w:pos="1140"/>
        </w:tabs>
        <w:spacing w:after="0"/>
        <w:ind w:left="0" w:firstLine="709"/>
      </w:pPr>
      <w:r w:rsidRPr="00DB1C49">
        <w:t>Департаменту</w:t>
      </w:r>
      <w:r w:rsidRPr="00DB1C49">
        <w:rPr>
          <w:bCs/>
        </w:rPr>
        <w:t xml:space="preserve"> фінансів, економіки та інвестицій </w:t>
      </w:r>
      <w:r w:rsidRPr="00DB1C49">
        <w:t>Сумської міської ради (Світлана ЛИПОВА) (далі – Департамент):</w:t>
      </w:r>
    </w:p>
    <w:p w14:paraId="47E42B21" w14:textId="77777777" w:rsidR="00F64B6F" w:rsidRPr="00791F5E" w:rsidRDefault="00F64B6F" w:rsidP="00F64B6F">
      <w:pPr>
        <w:tabs>
          <w:tab w:val="left" w:pos="1140"/>
        </w:tabs>
        <w:ind w:firstLine="709"/>
      </w:pPr>
      <w:r>
        <w:t>4</w:t>
      </w:r>
      <w:r w:rsidRPr="0011272D">
        <w:t xml:space="preserve">.1. </w:t>
      </w:r>
      <w:r w:rsidRPr="009374E2">
        <w:t xml:space="preserve">Забезпечити організацію складання проєкту бюджету СМТГ </w:t>
      </w:r>
      <w:r>
        <w:t xml:space="preserve">з </w:t>
      </w:r>
      <w:r w:rsidR="002A7F2B">
        <w:t>урахуванням норм бюджетного та п</w:t>
      </w:r>
      <w:r w:rsidRPr="009374E2">
        <w:t>одаткового</w:t>
      </w:r>
      <w:r w:rsidR="002A7F2B">
        <w:t xml:space="preserve"> законодавства, макроекономічного прогнозу України</w:t>
      </w:r>
      <w:r>
        <w:t>,</w:t>
      </w:r>
      <w:r w:rsidRPr="009374E2">
        <w:t xml:space="preserve"> інших</w:t>
      </w:r>
      <w:r w:rsidRPr="0011272D">
        <w:t xml:space="preserve"> нормативно-правових актів, </w:t>
      </w:r>
      <w:r w:rsidRPr="00E32645">
        <w:t>рішень Сумської міської ради, Виконавчого комітету Сумської міської ради, наказів Сумської міської військової адміністрації Сумського району Сумської області</w:t>
      </w:r>
      <w:r>
        <w:t xml:space="preserve"> </w:t>
      </w:r>
      <w:r w:rsidRPr="0011272D">
        <w:t xml:space="preserve">за принципом </w:t>
      </w:r>
      <w:r>
        <w:t xml:space="preserve">надзвичайно зважених і продуманих підходів до </w:t>
      </w:r>
      <w:r w:rsidRPr="00791F5E">
        <w:t>визначення напрямів спрямування бюджетного ресурсу з урахуванням викликів, зумовлених воєнним станом.</w:t>
      </w:r>
      <w:r w:rsidR="00E32645" w:rsidRPr="00791F5E">
        <w:t xml:space="preserve"> </w:t>
      </w:r>
    </w:p>
    <w:p w14:paraId="17576822" w14:textId="77777777" w:rsidR="00F64B6F" w:rsidRPr="00791F5E" w:rsidRDefault="00F64B6F" w:rsidP="00F64B6F">
      <w:pPr>
        <w:pStyle w:val="a5"/>
        <w:shd w:val="clear" w:color="auto" w:fill="FFFFFF"/>
        <w:spacing w:after="0"/>
        <w:ind w:left="0" w:firstLine="709"/>
      </w:pPr>
      <w:r w:rsidRPr="00791F5E">
        <w:t>4.2. Провести</w:t>
      </w:r>
      <w:r w:rsidR="00E32645" w:rsidRPr="00791F5E">
        <w:t xml:space="preserve"> за потреби робочі зустрічі</w:t>
      </w:r>
      <w:r w:rsidRPr="00791F5E">
        <w:t xml:space="preserve"> з головними розпорядниками бюджетних коштів щодо </w:t>
      </w:r>
      <w:r w:rsidR="00EC0F25" w:rsidRPr="00791F5E">
        <w:t>обговорення</w:t>
      </w:r>
      <w:r w:rsidRPr="00791F5E">
        <w:t xml:space="preserve"> граничних показників видатків бюджету та надання кредитів з бюджету проєкту бюджету СМТГ.</w:t>
      </w:r>
    </w:p>
    <w:p w14:paraId="0F429D59" w14:textId="77777777" w:rsidR="00F64B6F" w:rsidRPr="0011272D" w:rsidRDefault="00F64B6F" w:rsidP="00F64B6F">
      <w:pPr>
        <w:pStyle w:val="a5"/>
        <w:shd w:val="clear" w:color="auto" w:fill="FFFFFF"/>
        <w:spacing w:after="0"/>
        <w:ind w:left="0" w:firstLine="741"/>
      </w:pPr>
      <w:r w:rsidRPr="00791F5E">
        <w:rPr>
          <w:rFonts w:eastAsia="Calibri"/>
        </w:rPr>
        <w:t>4.3. Здійснити аналіз бюджетних запитів головних розпорядників бюджетних коштів та підготувати пропозиції щодо включення їх до проєкту</w:t>
      </w:r>
      <w:r w:rsidRPr="0011272D">
        <w:rPr>
          <w:rFonts w:eastAsia="Calibri"/>
        </w:rPr>
        <w:t xml:space="preserve"> бюджету С</w:t>
      </w:r>
      <w:r>
        <w:rPr>
          <w:rFonts w:eastAsia="Calibri"/>
        </w:rPr>
        <w:t>МТГ</w:t>
      </w:r>
      <w:r w:rsidRPr="0011272D">
        <w:rPr>
          <w:rFonts w:eastAsia="Calibri"/>
        </w:rPr>
        <w:t>.</w:t>
      </w:r>
    </w:p>
    <w:p w14:paraId="099B0D44" w14:textId="77777777" w:rsidR="00F64B6F" w:rsidRPr="0011272D" w:rsidRDefault="00F64B6F" w:rsidP="00F64B6F">
      <w:pPr>
        <w:pStyle w:val="a5"/>
        <w:tabs>
          <w:tab w:val="left" w:pos="1140"/>
        </w:tabs>
        <w:spacing w:after="0"/>
        <w:ind w:left="0" w:firstLine="709"/>
      </w:pPr>
      <w:r>
        <w:t>4</w:t>
      </w:r>
      <w:r w:rsidR="00EC0F25">
        <w:t>.4</w:t>
      </w:r>
      <w:r w:rsidRPr="0011272D">
        <w:t xml:space="preserve">. Забезпечити </w:t>
      </w:r>
      <w:r>
        <w:t xml:space="preserve">підготовку та </w:t>
      </w:r>
      <w:r w:rsidRPr="0011272D">
        <w:t>подання на розгляд робочої групи (відповідно до графіку та переліку питань</w:t>
      </w:r>
      <w:r>
        <w:t xml:space="preserve"> порядку денного</w:t>
      </w:r>
      <w:r w:rsidRPr="00F15DC6">
        <w:t xml:space="preserve"> </w:t>
      </w:r>
      <w:r w:rsidRPr="0011272D">
        <w:t>засідань) матеріалів щодо підготовки п</w:t>
      </w:r>
      <w:r w:rsidRPr="0011272D">
        <w:rPr>
          <w:color w:val="000000"/>
        </w:rPr>
        <w:t>роє</w:t>
      </w:r>
      <w:r w:rsidRPr="0011272D">
        <w:t xml:space="preserve">кту бюджету СМТГ. </w:t>
      </w:r>
    </w:p>
    <w:p w14:paraId="1C58AA72" w14:textId="77777777" w:rsidR="00F64B6F" w:rsidRPr="0011272D" w:rsidRDefault="00F64B6F" w:rsidP="00F64B6F">
      <w:pPr>
        <w:autoSpaceDE w:val="0"/>
        <w:autoSpaceDN w:val="0"/>
        <w:adjustRightInd w:val="0"/>
        <w:ind w:firstLine="709"/>
      </w:pPr>
      <w:r>
        <w:t>4</w:t>
      </w:r>
      <w:r w:rsidRPr="0011272D">
        <w:t>.</w:t>
      </w:r>
      <w:r w:rsidR="00EC0F25">
        <w:t>5</w:t>
      </w:r>
      <w:r w:rsidRPr="0011272D">
        <w:t xml:space="preserve">. </w:t>
      </w:r>
      <w:r w:rsidRPr="00BD31D9">
        <w:t xml:space="preserve">Підготувати проєкт </w:t>
      </w:r>
      <w:r>
        <w:t>наказу</w:t>
      </w:r>
      <w:r w:rsidR="0009768E">
        <w:t xml:space="preserve"> Сумської міської військової адміністрації</w:t>
      </w:r>
      <w:r w:rsidRPr="00AD0B36">
        <w:t xml:space="preserve"> </w:t>
      </w:r>
      <w:r>
        <w:t>про</w:t>
      </w:r>
      <w:r w:rsidRPr="0011272D">
        <w:t xml:space="preserve"> бюджет СМТГ </w:t>
      </w:r>
      <w:r>
        <w:t>та п</w:t>
      </w:r>
      <w:r w:rsidRPr="0011272D">
        <w:t>одати</w:t>
      </w:r>
      <w:r>
        <w:t xml:space="preserve"> його </w:t>
      </w:r>
      <w:r w:rsidRPr="0011272D">
        <w:t>на</w:t>
      </w:r>
      <w:r>
        <w:t xml:space="preserve"> затвердження</w:t>
      </w:r>
      <w:r w:rsidRPr="004000D9">
        <w:t xml:space="preserve"> </w:t>
      </w:r>
      <w:r>
        <w:t>до Сумської міської військової адміністрації</w:t>
      </w:r>
      <w:r w:rsidRPr="0011272D">
        <w:t>.</w:t>
      </w:r>
    </w:p>
    <w:p w14:paraId="108F887F" w14:textId="77777777" w:rsidR="00F64B6F" w:rsidRPr="0011272D" w:rsidRDefault="00F64B6F" w:rsidP="00F64B6F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14:paraId="6D7422A3" w14:textId="77777777" w:rsidR="00F64B6F" w:rsidRPr="0011272D" w:rsidRDefault="00F64B6F" w:rsidP="00F64B6F">
      <w:pPr>
        <w:numPr>
          <w:ilvl w:val="0"/>
          <w:numId w:val="1"/>
        </w:numPr>
        <w:tabs>
          <w:tab w:val="left" w:pos="1140"/>
        </w:tabs>
        <w:ind w:left="0" w:firstLine="709"/>
      </w:pPr>
      <w:r w:rsidRPr="0011272D">
        <w:t>Головним розпорядникам бюджетних коштів Сумської міської ради:</w:t>
      </w:r>
    </w:p>
    <w:p w14:paraId="1B61B164" w14:textId="77777777" w:rsidR="00F64B6F" w:rsidRDefault="00F64B6F" w:rsidP="00F64B6F">
      <w:pPr>
        <w:tabs>
          <w:tab w:val="left" w:pos="1140"/>
        </w:tabs>
        <w:ind w:firstLine="709"/>
      </w:pPr>
      <w:r>
        <w:t>5</w:t>
      </w:r>
      <w:r w:rsidRPr="0011272D">
        <w:t xml:space="preserve">.1. </w:t>
      </w:r>
      <w:r>
        <w:t xml:space="preserve">При </w:t>
      </w:r>
      <w:r w:rsidRPr="0011272D">
        <w:t>підготовці бюджетних запитів врахувати у межах доведених граничних</w:t>
      </w:r>
      <w:r>
        <w:t xml:space="preserve"> показників</w:t>
      </w:r>
      <w:r w:rsidRPr="0011272D">
        <w:t xml:space="preserve"> </w:t>
      </w:r>
      <w:r>
        <w:t>видатків</w:t>
      </w:r>
      <w:r w:rsidRPr="0011272D">
        <w:t xml:space="preserve"> </w:t>
      </w:r>
      <w:r>
        <w:t>проєкту бюджету СМТГ</w:t>
      </w:r>
      <w:r w:rsidRPr="0011272D">
        <w:t>:</w:t>
      </w:r>
    </w:p>
    <w:p w14:paraId="0DDF0BA5" w14:textId="77777777" w:rsidR="00F64B6F" w:rsidRPr="0011272D" w:rsidRDefault="00222BD3" w:rsidP="00222BD3">
      <w:pPr>
        <w:pStyle w:val="a5"/>
        <w:tabs>
          <w:tab w:val="left" w:pos="1140"/>
        </w:tabs>
        <w:spacing w:after="0"/>
        <w:ind w:left="0" w:firstLine="709"/>
        <w:rPr>
          <w:bCs/>
        </w:rPr>
      </w:pPr>
      <w:r>
        <w:t xml:space="preserve">1) </w:t>
      </w:r>
      <w:r w:rsidR="00F64B6F">
        <w:t>рекомендації Міністерства фінансів України та Департаменту,                      а також вимоги Інструкції з підготовки бюджетних запитів;</w:t>
      </w:r>
    </w:p>
    <w:p w14:paraId="40CE62E7" w14:textId="77777777" w:rsidR="00F64B6F" w:rsidRPr="00222BD3" w:rsidRDefault="00222BD3" w:rsidP="00222BD3">
      <w:pPr>
        <w:pStyle w:val="a5"/>
        <w:tabs>
          <w:tab w:val="left" w:pos="1134"/>
        </w:tabs>
        <w:spacing w:after="0"/>
        <w:ind w:left="0" w:firstLine="709"/>
      </w:pPr>
      <w:r>
        <w:t>2)</w:t>
      </w:r>
      <w:r>
        <w:rPr>
          <w:lang w:val="ru-RU"/>
        </w:rPr>
        <w:t xml:space="preserve"> </w:t>
      </w:r>
      <w:r w:rsidR="00F64B6F" w:rsidRPr="00222BD3">
        <w:t xml:space="preserve">вимоги частини четвертої статті 77 Бюджетного кодексу України щодо передбачення в першочерговому порядку потреби в коштах на оплату праці працівників бюджетних установ відповідно до умов оплати праці та розміру мінімальної заробітної плати і на проведення розрахунків за енергоносії, виходячи із </w:t>
      </w:r>
      <w:r w:rsidR="00F64B6F" w:rsidRPr="0011272D">
        <w:t>встановлених за погодженням з Департаментом лімітів споживання енергоносіїв в натуральних показниках для кожної бюджетної установи/</w:t>
      </w:r>
      <w:r w:rsidR="00F64B6F">
        <w:t>закладу/</w:t>
      </w:r>
      <w:r w:rsidR="00F64B6F" w:rsidRPr="0011272D">
        <w:t>комунального некомерційного підприємства;</w:t>
      </w:r>
    </w:p>
    <w:p w14:paraId="48B506F8" w14:textId="77777777" w:rsidR="00F64B6F" w:rsidRPr="00222BD3" w:rsidRDefault="00222BD3" w:rsidP="00222BD3">
      <w:pPr>
        <w:pStyle w:val="a5"/>
        <w:tabs>
          <w:tab w:val="left" w:pos="1134"/>
        </w:tabs>
        <w:spacing w:after="0"/>
        <w:ind w:left="0" w:firstLine="709"/>
      </w:pPr>
      <w:r>
        <w:rPr>
          <w:lang w:val="ru-RU"/>
        </w:rPr>
        <w:t xml:space="preserve">3) </w:t>
      </w:r>
      <w:r w:rsidR="00F64B6F" w:rsidRPr="0011272D">
        <w:t>розміри державних соціальних гарантій і стандартів;</w:t>
      </w:r>
    </w:p>
    <w:p w14:paraId="63D923C5" w14:textId="77777777" w:rsidR="003177E4" w:rsidRDefault="00222BD3" w:rsidP="003177E4">
      <w:pPr>
        <w:pStyle w:val="a5"/>
        <w:tabs>
          <w:tab w:val="left" w:pos="1134"/>
        </w:tabs>
        <w:spacing w:after="0"/>
        <w:ind w:left="0" w:firstLine="709"/>
        <w:rPr>
          <w:lang w:val="ru-RU"/>
        </w:rPr>
      </w:pPr>
      <w:r>
        <w:rPr>
          <w:lang w:val="ru-RU"/>
        </w:rPr>
        <w:t>4)</w:t>
      </w:r>
      <w:r w:rsidRPr="00222BD3">
        <w:rPr>
          <w:lang w:val="ru-RU"/>
        </w:rPr>
        <w:t xml:space="preserve"> </w:t>
      </w:r>
      <w:r w:rsidRPr="00222BD3">
        <w:t>пріоритетність</w:t>
      </w:r>
      <w:r w:rsidRPr="00222BD3">
        <w:rPr>
          <w:lang w:val="ru-RU"/>
        </w:rPr>
        <w:t xml:space="preserve"> </w:t>
      </w:r>
      <w:proofErr w:type="spellStart"/>
      <w:r w:rsidRPr="00222BD3">
        <w:rPr>
          <w:lang w:val="ru-RU"/>
        </w:rPr>
        <w:t>спрямування</w:t>
      </w:r>
      <w:proofErr w:type="spellEnd"/>
      <w:r w:rsidRPr="00222BD3">
        <w:rPr>
          <w:lang w:val="ru-RU"/>
        </w:rPr>
        <w:t xml:space="preserve"> </w:t>
      </w:r>
      <w:proofErr w:type="spellStart"/>
      <w:r w:rsidRPr="00222BD3">
        <w:rPr>
          <w:lang w:val="ru-RU"/>
        </w:rPr>
        <w:t>коштів</w:t>
      </w:r>
      <w:proofErr w:type="spellEnd"/>
      <w:r w:rsidRPr="00222BD3">
        <w:rPr>
          <w:lang w:val="ru-RU"/>
        </w:rPr>
        <w:t xml:space="preserve"> бюджет</w:t>
      </w:r>
      <w:r>
        <w:rPr>
          <w:lang w:val="ru-RU"/>
        </w:rPr>
        <w:t>у СМТГ</w:t>
      </w:r>
      <w:r w:rsidRPr="00222BD3">
        <w:rPr>
          <w:lang w:val="ru-RU"/>
        </w:rPr>
        <w:t xml:space="preserve"> за такими </w:t>
      </w:r>
      <w:proofErr w:type="spellStart"/>
      <w:r w:rsidRPr="00222BD3">
        <w:rPr>
          <w:lang w:val="ru-RU"/>
        </w:rPr>
        <w:t>напрямами</w:t>
      </w:r>
      <w:proofErr w:type="spellEnd"/>
      <w:r w:rsidRPr="00222BD3">
        <w:rPr>
          <w:lang w:val="ru-RU"/>
        </w:rPr>
        <w:t xml:space="preserve">, </w:t>
      </w:r>
      <w:proofErr w:type="spellStart"/>
      <w:r w:rsidRPr="00222BD3">
        <w:rPr>
          <w:lang w:val="ru-RU"/>
        </w:rPr>
        <w:t>визначеними</w:t>
      </w:r>
      <w:proofErr w:type="spellEnd"/>
      <w:r w:rsidRPr="00222BD3">
        <w:rPr>
          <w:lang w:val="ru-RU"/>
        </w:rPr>
        <w:t xml:space="preserve"> указами Президента </w:t>
      </w:r>
      <w:proofErr w:type="spellStart"/>
      <w:r w:rsidRPr="00222BD3">
        <w:rPr>
          <w:lang w:val="ru-RU"/>
        </w:rPr>
        <w:t>України</w:t>
      </w:r>
      <w:proofErr w:type="spellEnd"/>
      <w:r w:rsidRPr="00222BD3">
        <w:rPr>
          <w:lang w:val="ru-RU"/>
        </w:rPr>
        <w:t xml:space="preserve">, </w:t>
      </w:r>
      <w:proofErr w:type="spellStart"/>
      <w:r w:rsidRPr="00222BD3">
        <w:rPr>
          <w:lang w:val="ru-RU"/>
        </w:rPr>
        <w:t>нормативними</w:t>
      </w:r>
      <w:proofErr w:type="spellEnd"/>
      <w:r w:rsidRPr="00222BD3">
        <w:rPr>
          <w:lang w:val="ru-RU"/>
        </w:rPr>
        <w:t xml:space="preserve"> актами </w:t>
      </w:r>
      <w:proofErr w:type="spellStart"/>
      <w:r w:rsidRPr="00222BD3">
        <w:rPr>
          <w:lang w:val="ru-RU"/>
        </w:rPr>
        <w:t>центральних</w:t>
      </w:r>
      <w:proofErr w:type="spellEnd"/>
      <w:r w:rsidRPr="00222BD3">
        <w:rPr>
          <w:lang w:val="ru-RU"/>
        </w:rPr>
        <w:t xml:space="preserve"> </w:t>
      </w:r>
      <w:proofErr w:type="spellStart"/>
      <w:r w:rsidRPr="00222BD3">
        <w:rPr>
          <w:lang w:val="ru-RU"/>
        </w:rPr>
        <w:t>органів</w:t>
      </w:r>
      <w:proofErr w:type="spellEnd"/>
      <w:r w:rsidR="0009768E">
        <w:rPr>
          <w:lang w:val="ru-RU"/>
        </w:rPr>
        <w:t xml:space="preserve"> </w:t>
      </w:r>
      <w:proofErr w:type="spellStart"/>
      <w:r w:rsidR="0009768E">
        <w:rPr>
          <w:lang w:val="ru-RU"/>
        </w:rPr>
        <w:t>виконавчої</w:t>
      </w:r>
      <w:proofErr w:type="spellEnd"/>
      <w:r w:rsidRPr="00222BD3">
        <w:rPr>
          <w:lang w:val="ru-RU"/>
        </w:rPr>
        <w:t xml:space="preserve"> </w:t>
      </w:r>
      <w:proofErr w:type="spellStart"/>
      <w:r w:rsidRPr="00222BD3">
        <w:rPr>
          <w:lang w:val="ru-RU"/>
        </w:rPr>
        <w:t>влади</w:t>
      </w:r>
      <w:proofErr w:type="spellEnd"/>
      <w:r w:rsidRPr="00222BD3">
        <w:rPr>
          <w:lang w:val="ru-RU"/>
        </w:rPr>
        <w:t xml:space="preserve">, </w:t>
      </w:r>
      <w:proofErr w:type="spellStart"/>
      <w:r w:rsidRPr="00222BD3">
        <w:rPr>
          <w:lang w:val="ru-RU"/>
        </w:rPr>
        <w:t>рішеннями</w:t>
      </w:r>
      <w:proofErr w:type="spellEnd"/>
      <w:r w:rsidRPr="00222BD3">
        <w:rPr>
          <w:lang w:val="ru-RU"/>
        </w:rPr>
        <w:t xml:space="preserve"> ради оборони </w:t>
      </w:r>
      <w:proofErr w:type="spellStart"/>
      <w:r w:rsidRPr="00222BD3">
        <w:rPr>
          <w:lang w:val="ru-RU"/>
        </w:rPr>
        <w:t>області</w:t>
      </w:r>
      <w:proofErr w:type="spellEnd"/>
      <w:r w:rsidRPr="00222BD3">
        <w:rPr>
          <w:lang w:val="ru-RU"/>
        </w:rPr>
        <w:t>, на:</w:t>
      </w:r>
    </w:p>
    <w:p w14:paraId="1C3E27F1" w14:textId="77777777" w:rsidR="00222BD3" w:rsidRPr="00576D4C" w:rsidRDefault="00155776" w:rsidP="003177E4">
      <w:pPr>
        <w:pStyle w:val="a5"/>
        <w:tabs>
          <w:tab w:val="left" w:pos="1134"/>
        </w:tabs>
        <w:spacing w:after="0"/>
        <w:ind w:left="0" w:firstLine="709"/>
      </w:pPr>
      <w:r>
        <w:rPr>
          <w:lang w:val="ru-RU"/>
        </w:rPr>
        <w:t xml:space="preserve">- </w:t>
      </w:r>
      <w:r w:rsidR="00222BD3" w:rsidRPr="00576D4C">
        <w:t>підтримку складових сил безпеки і оборони держави, у тому числі підрозділів територіальної оборони;</w:t>
      </w:r>
    </w:p>
    <w:p w14:paraId="178F0732" w14:textId="77777777" w:rsidR="00222BD3" w:rsidRPr="00665D6B" w:rsidRDefault="00155776" w:rsidP="00155776">
      <w:pPr>
        <w:ind w:firstLine="709"/>
      </w:pPr>
      <w:r w:rsidRPr="00665D6B">
        <w:lastRenderedPageBreak/>
        <w:t xml:space="preserve">- </w:t>
      </w:r>
      <w:r w:rsidR="00665D6B" w:rsidRPr="00665D6B">
        <w:t>утримання</w:t>
      </w:r>
      <w:r w:rsidR="00222BD3" w:rsidRPr="00665D6B">
        <w:t xml:space="preserve"> </w:t>
      </w:r>
      <w:r w:rsidR="00665D6B" w:rsidRPr="00665D6B">
        <w:t xml:space="preserve"> в готовності діючої </w:t>
      </w:r>
      <w:r w:rsidR="00222BD3" w:rsidRPr="00665D6B">
        <w:t>місцев</w:t>
      </w:r>
      <w:r w:rsidR="00665D6B" w:rsidRPr="00665D6B">
        <w:t>ої</w:t>
      </w:r>
      <w:r w:rsidR="00222BD3" w:rsidRPr="00665D6B">
        <w:t xml:space="preserve"> автоматизован</w:t>
      </w:r>
      <w:r w:rsidR="00665D6B" w:rsidRPr="00665D6B">
        <w:t>ої</w:t>
      </w:r>
      <w:r w:rsidR="00222BD3" w:rsidRPr="00665D6B">
        <w:t xml:space="preserve"> систем</w:t>
      </w:r>
      <w:r w:rsidR="00665D6B" w:rsidRPr="00665D6B">
        <w:t>и</w:t>
      </w:r>
      <w:r w:rsidR="00222BD3" w:rsidRPr="00665D6B">
        <w:t xml:space="preserve"> централізованого оповіщення;</w:t>
      </w:r>
    </w:p>
    <w:p w14:paraId="6513B6F1" w14:textId="77777777" w:rsidR="00222BD3" w:rsidRPr="00576D4C" w:rsidRDefault="00155776" w:rsidP="00155776">
      <w:pPr>
        <w:ind w:firstLine="709"/>
      </w:pPr>
      <w:r w:rsidRPr="00665D6B">
        <w:t xml:space="preserve">- </w:t>
      </w:r>
      <w:r w:rsidR="00222BD3" w:rsidRPr="00665D6B">
        <w:t>створення необхідних матеріальних резервів для реагування на кризові</w:t>
      </w:r>
      <w:r w:rsidR="00222BD3" w:rsidRPr="00576D4C">
        <w:t xml:space="preserve"> і надзвичайні ситуації та загрози, зокрема накопичення засобів індивідуального захисту органів дихання від сильнодіючих отруйних речовин;</w:t>
      </w:r>
    </w:p>
    <w:p w14:paraId="405E3B14" w14:textId="77777777" w:rsidR="00222BD3" w:rsidRPr="00576D4C" w:rsidRDefault="00155776" w:rsidP="00155776">
      <w:pPr>
        <w:ind w:firstLine="709"/>
      </w:pPr>
      <w:r w:rsidRPr="00155776">
        <w:t xml:space="preserve">- </w:t>
      </w:r>
      <w:r w:rsidR="00222BD3" w:rsidRPr="00576D4C">
        <w:t>підвищення рівня укриття населення в можливих зонах ураження, здійснення комплексу заходів щодо відновлення функціонування захисних споруд цивільного захисту за призначенням та їх доукомплектування необхідними засобами цивільного захисту на майна;</w:t>
      </w:r>
    </w:p>
    <w:p w14:paraId="7A0D4DF2" w14:textId="77777777" w:rsidR="00222BD3" w:rsidRPr="00576D4C" w:rsidRDefault="00155776" w:rsidP="00155776">
      <w:pPr>
        <w:ind w:firstLine="709"/>
      </w:pPr>
      <w:r w:rsidRPr="00155776">
        <w:t xml:space="preserve">- </w:t>
      </w:r>
      <w:r w:rsidR="00222BD3" w:rsidRPr="00576D4C">
        <w:t>підтримку ветеранів війни, членів їх сімей, членів сімей загиблих (померлих) ветеранів війни, членів сімей загиблих (померлих) Захисників і Захисниць України</w:t>
      </w:r>
      <w:r w:rsidR="00222BD3">
        <w:t>, родин полонених та зниклих безвісти за особливих обставин</w:t>
      </w:r>
      <w:r w:rsidR="00222BD3" w:rsidRPr="00576D4C">
        <w:t>;</w:t>
      </w:r>
    </w:p>
    <w:p w14:paraId="6B743B64" w14:textId="77777777" w:rsidR="00222BD3" w:rsidRPr="00576D4C" w:rsidRDefault="00155776" w:rsidP="00155776">
      <w:pPr>
        <w:ind w:firstLine="709"/>
      </w:pPr>
      <w:r w:rsidRPr="00155776">
        <w:t xml:space="preserve">- </w:t>
      </w:r>
      <w:r w:rsidR="00222BD3" w:rsidRPr="00576D4C">
        <w:t>надання всебічної допомоги внутрішньо переміщеним особам</w:t>
      </w:r>
      <w:r w:rsidR="00222BD3">
        <w:t xml:space="preserve"> (далі – ВПО)</w:t>
      </w:r>
      <w:r w:rsidR="00222BD3" w:rsidRPr="00576D4C">
        <w:t>, у тому числі створення житлового фонду (тимчасового житла), утворення та підтримку функціонування місць тимчасового проживання ВПО;</w:t>
      </w:r>
    </w:p>
    <w:p w14:paraId="65175C8B" w14:textId="77777777" w:rsidR="00222BD3" w:rsidRPr="00576D4C" w:rsidRDefault="00155776" w:rsidP="00155776">
      <w:pPr>
        <w:ind w:firstLine="709"/>
      </w:pPr>
      <w:r w:rsidRPr="00155776">
        <w:rPr>
          <w:rFonts w:eastAsiaTheme="minorHAnsi"/>
          <w:kern w:val="2"/>
          <w:lang w:eastAsia="en-US"/>
          <w14:ligatures w14:val="standardContextual"/>
        </w:rPr>
        <w:t xml:space="preserve">- </w:t>
      </w:r>
      <w:r w:rsidR="00222BD3" w:rsidRPr="00576D4C">
        <w:rPr>
          <w:rFonts w:eastAsiaTheme="minorHAnsi"/>
          <w:kern w:val="2"/>
          <w:lang w:eastAsia="en-US"/>
          <w14:ligatures w14:val="standardContextual"/>
        </w:rPr>
        <w:t>модернізацію об’єктів теплового та водопровідно-каналізаційного</w:t>
      </w:r>
      <w:r w:rsidR="00222BD3" w:rsidRPr="00576D4C">
        <w:t xml:space="preserve"> господарства, реалізацію проєктів розподіленої генерації (підключення до інженерних мереж </w:t>
      </w:r>
      <w:proofErr w:type="spellStart"/>
      <w:r w:rsidR="00222BD3" w:rsidRPr="00576D4C">
        <w:t>когенераційних</w:t>
      </w:r>
      <w:proofErr w:type="spellEnd"/>
      <w:r w:rsidR="00222BD3" w:rsidRPr="00576D4C">
        <w:t xml:space="preserve"> установок, блочно-модульних </w:t>
      </w:r>
      <w:proofErr w:type="spellStart"/>
      <w:r w:rsidR="00222BD3" w:rsidRPr="00576D4C">
        <w:t>котелень</w:t>
      </w:r>
      <w:proofErr w:type="spellEnd"/>
      <w:r w:rsidR="00222BD3" w:rsidRPr="00576D4C">
        <w:t>, встановлення сонячних електростанцій та засобів накопичення енергії);</w:t>
      </w:r>
    </w:p>
    <w:p w14:paraId="4C462C05" w14:textId="77777777" w:rsidR="00222BD3" w:rsidRPr="00576D4C" w:rsidRDefault="00155776" w:rsidP="00155776">
      <w:pPr>
        <w:pStyle w:val="a9"/>
        <w:ind w:left="0" w:firstLine="709"/>
      </w:pPr>
      <w:r w:rsidRPr="00155776">
        <w:t xml:space="preserve">- </w:t>
      </w:r>
      <w:r w:rsidR="00222BD3" w:rsidRPr="00576D4C">
        <w:t>облаштування безпечних умов у закладах освіти (встановлення технічних засобів охоронного призначення для забезпечення реагування нарядів поліції охорони, системи зовнішнього та внутрішнього відеоспостереження, проведення заходів протипожежної безпеки</w:t>
      </w:r>
      <w:r w:rsidR="00222BD3">
        <w:t>, забезпечення охорони закладів освіти працівниками поліції охорони на договірних засадах в рамках проєкту «Офіцер безпеки»</w:t>
      </w:r>
      <w:r w:rsidR="00222BD3" w:rsidRPr="00576D4C">
        <w:t xml:space="preserve"> тощо);</w:t>
      </w:r>
    </w:p>
    <w:p w14:paraId="3B138865" w14:textId="77777777" w:rsidR="00222BD3" w:rsidRDefault="00155776" w:rsidP="00155776">
      <w:pPr>
        <w:pStyle w:val="a9"/>
        <w:ind w:left="0" w:firstLine="709"/>
      </w:pPr>
      <w:r w:rsidRPr="00D21B11">
        <w:t xml:space="preserve">- </w:t>
      </w:r>
      <w:r w:rsidR="00222BD3" w:rsidRPr="00576D4C">
        <w:t>забезпечення харчування дітей</w:t>
      </w:r>
      <w:r w:rsidR="00D21B11">
        <w:t xml:space="preserve"> в закладах дошкільної освіти та</w:t>
      </w:r>
      <w:r w:rsidR="00222BD3" w:rsidRPr="00576D4C">
        <w:t xml:space="preserve"> </w:t>
      </w:r>
      <w:r w:rsidR="00D21B11">
        <w:t xml:space="preserve">дітей </w:t>
      </w:r>
      <w:r w:rsidR="00665D6B">
        <w:t>пільгових</w:t>
      </w:r>
      <w:r w:rsidR="00222BD3">
        <w:t xml:space="preserve"> категорій </w:t>
      </w:r>
      <w:r w:rsidR="00222BD3" w:rsidRPr="00576D4C">
        <w:t>у закладах загальної середньої освіти</w:t>
      </w:r>
      <w:r w:rsidR="00D21B11">
        <w:t>;</w:t>
      </w:r>
    </w:p>
    <w:p w14:paraId="77645697" w14:textId="77777777" w:rsidR="00D604F2" w:rsidRDefault="00D604F2" w:rsidP="00D604F2">
      <w:pPr>
        <w:pStyle w:val="a5"/>
        <w:spacing w:after="0"/>
        <w:ind w:left="0" w:firstLine="709"/>
        <w:rPr>
          <w:bCs/>
        </w:rPr>
      </w:pPr>
      <w:r>
        <w:t>-</w:t>
      </w:r>
      <w:r w:rsidRPr="00D604F2">
        <w:rPr>
          <w:bCs/>
        </w:rPr>
        <w:t xml:space="preserve"> </w:t>
      </w:r>
      <w:r w:rsidR="00131506">
        <w:rPr>
          <w:bCs/>
        </w:rPr>
        <w:t xml:space="preserve">здійснення </w:t>
      </w:r>
      <w:r w:rsidRPr="006144FB">
        <w:rPr>
          <w:bCs/>
        </w:rPr>
        <w:t>заход</w:t>
      </w:r>
      <w:r w:rsidR="00131506">
        <w:rPr>
          <w:bCs/>
        </w:rPr>
        <w:t>ів</w:t>
      </w:r>
      <w:r w:rsidRPr="006144FB">
        <w:rPr>
          <w:bCs/>
        </w:rPr>
        <w:t xml:space="preserve"> з підвищення енергоефективності, розвитк</w:t>
      </w:r>
      <w:r>
        <w:rPr>
          <w:bCs/>
        </w:rPr>
        <w:t>у</w:t>
      </w:r>
      <w:r w:rsidRPr="006144FB">
        <w:rPr>
          <w:bCs/>
        </w:rPr>
        <w:t xml:space="preserve"> напрямку відновлювальної енергетики, </w:t>
      </w:r>
      <w:r>
        <w:rPr>
          <w:bCs/>
        </w:rPr>
        <w:t>влаштування на</w:t>
      </w:r>
      <w:r w:rsidRPr="006144FB">
        <w:rPr>
          <w:bCs/>
        </w:rPr>
        <w:t xml:space="preserve"> об’єкт</w:t>
      </w:r>
      <w:r>
        <w:rPr>
          <w:bCs/>
        </w:rPr>
        <w:t>ах</w:t>
      </w:r>
      <w:r w:rsidRPr="006144FB">
        <w:rPr>
          <w:bCs/>
        </w:rPr>
        <w:t xml:space="preserve"> </w:t>
      </w:r>
      <w:r w:rsidRPr="00067DA2">
        <w:rPr>
          <w:bCs/>
        </w:rPr>
        <w:t>бюджетної сфери</w:t>
      </w:r>
      <w:r>
        <w:rPr>
          <w:bCs/>
        </w:rPr>
        <w:t xml:space="preserve"> та</w:t>
      </w:r>
      <w:r w:rsidRPr="00067DA2">
        <w:rPr>
          <w:bCs/>
        </w:rPr>
        <w:t xml:space="preserve"> </w:t>
      </w:r>
      <w:r>
        <w:rPr>
          <w:bCs/>
        </w:rPr>
        <w:t>критичної інфраструктури комунальної власності громади</w:t>
      </w:r>
      <w:r w:rsidRPr="006144FB">
        <w:rPr>
          <w:bCs/>
        </w:rPr>
        <w:t xml:space="preserve"> альтернативни</w:t>
      </w:r>
      <w:r>
        <w:rPr>
          <w:bCs/>
        </w:rPr>
        <w:t>х</w:t>
      </w:r>
      <w:r w:rsidRPr="006144FB">
        <w:rPr>
          <w:bCs/>
        </w:rPr>
        <w:t xml:space="preserve"> джерел живлення, скорочення та/або раціональне використання енергоресурсів, реалізацію енергетичної політики громади та цілей Плану дій сталого енергетичного розвитку та клімату</w:t>
      </w:r>
      <w:r w:rsidR="00131506">
        <w:rPr>
          <w:bCs/>
        </w:rPr>
        <w:t xml:space="preserve"> СМТГ;</w:t>
      </w:r>
    </w:p>
    <w:p w14:paraId="5F5ADF22" w14:textId="77777777" w:rsidR="00F64B6F" w:rsidRPr="0002264A" w:rsidRDefault="00155776" w:rsidP="00CA6D52">
      <w:pPr>
        <w:pStyle w:val="a5"/>
        <w:tabs>
          <w:tab w:val="left" w:pos="1140"/>
        </w:tabs>
        <w:spacing w:after="0"/>
        <w:ind w:left="0" w:firstLine="709"/>
        <w:rPr>
          <w:bCs/>
          <w:highlight w:val="yellow"/>
        </w:rPr>
      </w:pPr>
      <w:r w:rsidRPr="00155776">
        <w:rPr>
          <w:spacing w:val="-2"/>
          <w:szCs w:val="27"/>
          <w:lang w:eastAsia="uk-UA"/>
        </w:rPr>
        <w:t>5)</w:t>
      </w:r>
      <w:r w:rsidR="00361FA7">
        <w:rPr>
          <w:spacing w:val="-2"/>
          <w:szCs w:val="27"/>
          <w:lang w:eastAsia="uk-UA"/>
        </w:rPr>
        <w:t xml:space="preserve"> необхідність </w:t>
      </w:r>
      <w:r w:rsidR="00F64B6F" w:rsidRPr="000259D7">
        <w:rPr>
          <w:spacing w:val="-2"/>
          <w:szCs w:val="27"/>
          <w:lang w:eastAsia="uk-UA"/>
        </w:rPr>
        <w:t>оптимізаці</w:t>
      </w:r>
      <w:r w:rsidR="00361FA7">
        <w:rPr>
          <w:spacing w:val="-2"/>
          <w:szCs w:val="27"/>
          <w:lang w:eastAsia="uk-UA"/>
        </w:rPr>
        <w:t>ї</w:t>
      </w:r>
      <w:r w:rsidR="00F64B6F" w:rsidRPr="000259D7">
        <w:rPr>
          <w:spacing w:val="46"/>
          <w:szCs w:val="27"/>
          <w:lang w:eastAsia="uk-UA"/>
        </w:rPr>
        <w:t xml:space="preserve"> </w:t>
      </w:r>
      <w:r w:rsidR="00F64B6F" w:rsidRPr="000259D7">
        <w:rPr>
          <w:spacing w:val="-2"/>
          <w:szCs w:val="27"/>
          <w:lang w:eastAsia="uk-UA"/>
        </w:rPr>
        <w:t>витрат</w:t>
      </w:r>
      <w:r w:rsidR="00F64B6F" w:rsidRPr="000259D7">
        <w:rPr>
          <w:spacing w:val="45"/>
          <w:szCs w:val="27"/>
          <w:lang w:eastAsia="uk-UA"/>
        </w:rPr>
        <w:t xml:space="preserve"> </w:t>
      </w:r>
      <w:r w:rsidR="00F64B6F" w:rsidRPr="000259D7">
        <w:rPr>
          <w:spacing w:val="-2"/>
          <w:szCs w:val="27"/>
          <w:lang w:eastAsia="uk-UA"/>
        </w:rPr>
        <w:t>бюджетних</w:t>
      </w:r>
      <w:r w:rsidR="00F64B6F" w:rsidRPr="000259D7">
        <w:rPr>
          <w:spacing w:val="43"/>
          <w:szCs w:val="27"/>
          <w:lang w:eastAsia="uk-UA"/>
        </w:rPr>
        <w:t xml:space="preserve"> </w:t>
      </w:r>
      <w:r w:rsidR="00F64B6F" w:rsidRPr="000259D7">
        <w:rPr>
          <w:spacing w:val="-1"/>
          <w:szCs w:val="27"/>
          <w:lang w:eastAsia="uk-UA"/>
        </w:rPr>
        <w:t>коштів</w:t>
      </w:r>
      <w:r w:rsidR="00F64B6F" w:rsidRPr="000259D7">
        <w:rPr>
          <w:spacing w:val="45"/>
          <w:szCs w:val="27"/>
          <w:lang w:eastAsia="uk-UA"/>
        </w:rPr>
        <w:t xml:space="preserve"> </w:t>
      </w:r>
      <w:r w:rsidR="00361FA7">
        <w:rPr>
          <w:spacing w:val="-1"/>
          <w:szCs w:val="27"/>
          <w:lang w:eastAsia="uk-UA"/>
        </w:rPr>
        <w:t xml:space="preserve">шляхом </w:t>
      </w:r>
      <w:r w:rsidR="00F64B6F" w:rsidRPr="000259D7">
        <w:rPr>
          <w:spacing w:val="-2"/>
          <w:szCs w:val="27"/>
          <w:lang w:eastAsia="uk-UA"/>
        </w:rPr>
        <w:t>виключення</w:t>
      </w:r>
      <w:r w:rsidR="00F64B6F" w:rsidRPr="000259D7">
        <w:rPr>
          <w:spacing w:val="45"/>
          <w:szCs w:val="27"/>
          <w:lang w:eastAsia="uk-UA"/>
        </w:rPr>
        <w:t xml:space="preserve"> </w:t>
      </w:r>
      <w:r w:rsidR="00F64B6F" w:rsidRPr="000259D7">
        <w:rPr>
          <w:spacing w:val="-2"/>
          <w:szCs w:val="27"/>
          <w:lang w:eastAsia="uk-UA"/>
        </w:rPr>
        <w:t>непріоритетних</w:t>
      </w:r>
      <w:r w:rsidR="00F64B6F" w:rsidRPr="000259D7">
        <w:rPr>
          <w:spacing w:val="29"/>
          <w:szCs w:val="27"/>
          <w:lang w:eastAsia="uk-UA"/>
        </w:rPr>
        <w:t xml:space="preserve"> </w:t>
      </w:r>
      <w:r w:rsidR="00F64B6F" w:rsidRPr="000259D7">
        <w:rPr>
          <w:szCs w:val="27"/>
          <w:lang w:eastAsia="uk-UA"/>
        </w:rPr>
        <w:t>та</w:t>
      </w:r>
      <w:r w:rsidR="00F64B6F" w:rsidRPr="000259D7">
        <w:rPr>
          <w:spacing w:val="30"/>
          <w:szCs w:val="27"/>
          <w:lang w:eastAsia="uk-UA"/>
        </w:rPr>
        <w:t xml:space="preserve"> </w:t>
      </w:r>
      <w:r w:rsidR="00F64B6F" w:rsidRPr="000259D7">
        <w:rPr>
          <w:spacing w:val="-2"/>
          <w:szCs w:val="27"/>
          <w:lang w:eastAsia="uk-UA"/>
        </w:rPr>
        <w:t>неефективних</w:t>
      </w:r>
      <w:r w:rsidR="00F64B6F" w:rsidRPr="000259D7">
        <w:rPr>
          <w:spacing w:val="29"/>
          <w:szCs w:val="27"/>
          <w:lang w:eastAsia="uk-UA"/>
        </w:rPr>
        <w:t xml:space="preserve"> </w:t>
      </w:r>
      <w:r w:rsidR="00F64B6F" w:rsidRPr="000259D7">
        <w:rPr>
          <w:spacing w:val="-2"/>
          <w:szCs w:val="27"/>
          <w:lang w:eastAsia="uk-UA"/>
        </w:rPr>
        <w:t>витрат,</w:t>
      </w:r>
      <w:r w:rsidR="00F64B6F" w:rsidRPr="000259D7">
        <w:rPr>
          <w:spacing w:val="28"/>
          <w:szCs w:val="27"/>
          <w:lang w:eastAsia="uk-UA"/>
        </w:rPr>
        <w:t xml:space="preserve"> </w:t>
      </w:r>
      <w:r w:rsidR="00F64B6F" w:rsidRPr="000259D7">
        <w:rPr>
          <w:spacing w:val="-2"/>
          <w:szCs w:val="27"/>
          <w:lang w:eastAsia="uk-UA"/>
        </w:rPr>
        <w:t>насамперед</w:t>
      </w:r>
      <w:r w:rsidR="00F64B6F" w:rsidRPr="000259D7">
        <w:rPr>
          <w:spacing w:val="27"/>
          <w:szCs w:val="27"/>
          <w:lang w:eastAsia="uk-UA"/>
        </w:rPr>
        <w:t xml:space="preserve"> </w:t>
      </w:r>
      <w:r w:rsidR="00F64B6F" w:rsidRPr="000259D7">
        <w:rPr>
          <w:spacing w:val="-1"/>
          <w:szCs w:val="27"/>
          <w:lang w:eastAsia="uk-UA"/>
        </w:rPr>
        <w:t>тих,</w:t>
      </w:r>
      <w:r w:rsidR="00F64B6F" w:rsidRPr="000259D7">
        <w:rPr>
          <w:spacing w:val="28"/>
          <w:szCs w:val="27"/>
          <w:lang w:eastAsia="uk-UA"/>
        </w:rPr>
        <w:t xml:space="preserve"> </w:t>
      </w:r>
      <w:r w:rsidR="00F64B6F" w:rsidRPr="000259D7">
        <w:rPr>
          <w:spacing w:val="-3"/>
          <w:szCs w:val="27"/>
          <w:lang w:eastAsia="uk-UA"/>
        </w:rPr>
        <w:t>що</w:t>
      </w:r>
      <w:r w:rsidR="00F64B6F" w:rsidRPr="000259D7">
        <w:rPr>
          <w:spacing w:val="29"/>
          <w:szCs w:val="27"/>
          <w:lang w:eastAsia="uk-UA"/>
        </w:rPr>
        <w:t xml:space="preserve"> </w:t>
      </w:r>
      <w:r w:rsidR="00F64B6F" w:rsidRPr="000259D7">
        <w:rPr>
          <w:spacing w:val="-1"/>
          <w:szCs w:val="27"/>
          <w:lang w:eastAsia="uk-UA"/>
        </w:rPr>
        <w:t>не</w:t>
      </w:r>
      <w:r w:rsidR="00F64B6F" w:rsidRPr="000259D7">
        <w:rPr>
          <w:spacing w:val="30"/>
          <w:szCs w:val="27"/>
          <w:lang w:eastAsia="uk-UA"/>
        </w:rPr>
        <w:t xml:space="preserve"> </w:t>
      </w:r>
      <w:r w:rsidR="00F64B6F" w:rsidRPr="000259D7">
        <w:rPr>
          <w:spacing w:val="-2"/>
          <w:szCs w:val="27"/>
          <w:lang w:eastAsia="uk-UA"/>
        </w:rPr>
        <w:t>забезпечують</w:t>
      </w:r>
      <w:r w:rsidR="00F64B6F" w:rsidRPr="000259D7">
        <w:rPr>
          <w:spacing w:val="63"/>
          <w:szCs w:val="27"/>
          <w:lang w:eastAsia="uk-UA"/>
        </w:rPr>
        <w:t xml:space="preserve"> </w:t>
      </w:r>
      <w:r w:rsidR="00F64B6F" w:rsidRPr="000259D7">
        <w:rPr>
          <w:spacing w:val="-1"/>
          <w:szCs w:val="27"/>
          <w:lang w:eastAsia="uk-UA"/>
        </w:rPr>
        <w:t>виконання</w:t>
      </w:r>
      <w:r w:rsidR="00F64B6F" w:rsidRPr="000259D7">
        <w:rPr>
          <w:spacing w:val="-8"/>
          <w:szCs w:val="27"/>
          <w:lang w:eastAsia="uk-UA"/>
        </w:rPr>
        <w:t xml:space="preserve"> </w:t>
      </w:r>
      <w:r w:rsidR="00F64B6F" w:rsidRPr="000259D7">
        <w:rPr>
          <w:spacing w:val="-2"/>
          <w:szCs w:val="27"/>
          <w:lang w:eastAsia="uk-UA"/>
        </w:rPr>
        <w:t>основних</w:t>
      </w:r>
      <w:r w:rsidR="00F64B6F" w:rsidRPr="000259D7">
        <w:rPr>
          <w:spacing w:val="5"/>
          <w:szCs w:val="27"/>
          <w:lang w:eastAsia="uk-UA"/>
        </w:rPr>
        <w:t xml:space="preserve"> </w:t>
      </w:r>
      <w:r w:rsidR="00F64B6F" w:rsidRPr="000259D7">
        <w:rPr>
          <w:spacing w:val="-2"/>
          <w:szCs w:val="27"/>
          <w:lang w:eastAsia="uk-UA"/>
        </w:rPr>
        <w:t>функцій</w:t>
      </w:r>
      <w:r w:rsidR="00F64B6F" w:rsidRPr="000259D7">
        <w:rPr>
          <w:spacing w:val="1"/>
          <w:szCs w:val="27"/>
          <w:lang w:eastAsia="uk-UA"/>
        </w:rPr>
        <w:t xml:space="preserve"> </w:t>
      </w:r>
      <w:r w:rsidR="00F64B6F" w:rsidRPr="000259D7">
        <w:rPr>
          <w:szCs w:val="27"/>
          <w:lang w:eastAsia="uk-UA"/>
        </w:rPr>
        <w:t>і</w:t>
      </w:r>
      <w:r w:rsidR="00F64B6F" w:rsidRPr="000259D7">
        <w:rPr>
          <w:spacing w:val="-8"/>
          <w:szCs w:val="27"/>
          <w:lang w:eastAsia="uk-UA"/>
        </w:rPr>
        <w:t xml:space="preserve"> </w:t>
      </w:r>
      <w:r w:rsidR="00F64B6F" w:rsidRPr="000259D7">
        <w:rPr>
          <w:spacing w:val="-2"/>
          <w:szCs w:val="27"/>
          <w:lang w:eastAsia="uk-UA"/>
        </w:rPr>
        <w:t>завдань головного</w:t>
      </w:r>
      <w:r w:rsidR="00F64B6F" w:rsidRPr="000259D7">
        <w:rPr>
          <w:spacing w:val="-4"/>
          <w:szCs w:val="27"/>
          <w:lang w:eastAsia="uk-UA"/>
        </w:rPr>
        <w:t xml:space="preserve"> </w:t>
      </w:r>
      <w:r w:rsidR="00F64B6F" w:rsidRPr="000259D7">
        <w:rPr>
          <w:spacing w:val="-2"/>
          <w:szCs w:val="27"/>
          <w:lang w:eastAsia="uk-UA"/>
        </w:rPr>
        <w:t>розпорядника</w:t>
      </w:r>
      <w:r w:rsidR="00361FA7">
        <w:rPr>
          <w:spacing w:val="-2"/>
          <w:szCs w:val="27"/>
          <w:lang w:eastAsia="uk-UA"/>
        </w:rPr>
        <w:t xml:space="preserve"> бюджетних коштів.</w:t>
      </w:r>
    </w:p>
    <w:p w14:paraId="3C2EF3FE" w14:textId="77777777" w:rsidR="00F64B6F" w:rsidRPr="00BE63F5" w:rsidRDefault="00F64B6F" w:rsidP="00DB1C49">
      <w:pPr>
        <w:pStyle w:val="a5"/>
        <w:tabs>
          <w:tab w:val="left" w:pos="709"/>
        </w:tabs>
        <w:spacing w:after="0"/>
        <w:ind w:left="0"/>
        <w:rPr>
          <w:bCs/>
        </w:rPr>
      </w:pPr>
      <w:r>
        <w:tab/>
        <w:t>5.2. Подати бюджетні запити в установлені терміни за допомогою автоматизованої інформаційно-аналітичної системи управління планування та виконання місцевих бюджетів</w:t>
      </w:r>
      <w:r w:rsidRPr="00332003">
        <w:t xml:space="preserve"> </w:t>
      </w:r>
      <w:r>
        <w:rPr>
          <w:lang w:val="en-US"/>
        </w:rPr>
        <w:t>IAC</w:t>
      </w:r>
      <w:r w:rsidRPr="00332003">
        <w:t xml:space="preserve"> </w:t>
      </w:r>
      <w:r>
        <w:t>«</w:t>
      </w:r>
      <w:r>
        <w:rPr>
          <w:lang w:val="en-US"/>
        </w:rPr>
        <w:t>LOGICA</w:t>
      </w:r>
      <w:r>
        <w:t xml:space="preserve">» та на паперових носіях з </w:t>
      </w:r>
      <w:r w:rsidRPr="00BE63F5">
        <w:t>детальними розрахунками, економічними обґрунтуваннями та пояснювальною запискою.</w:t>
      </w:r>
    </w:p>
    <w:p w14:paraId="70532C8A" w14:textId="77777777" w:rsidR="00F64B6F" w:rsidRPr="00BE63F5" w:rsidRDefault="00F64B6F" w:rsidP="00F64B6F">
      <w:pPr>
        <w:ind w:firstLine="709"/>
      </w:pPr>
      <w:r w:rsidRPr="00BE63F5">
        <w:t xml:space="preserve">5.3. Розглянути та врахувати пропозиції </w:t>
      </w:r>
      <w:r w:rsidR="00450ED7" w:rsidRPr="00BE63F5">
        <w:t xml:space="preserve">учасників електронних консультацій </w:t>
      </w:r>
      <w:r w:rsidRPr="00BE63F5">
        <w:t xml:space="preserve">щодо виділення коштів з бюджету СМТГ (виходячи з реальних </w:t>
      </w:r>
      <w:r w:rsidRPr="00BE63F5">
        <w:lastRenderedPageBreak/>
        <w:t>фінансових можливостей бюджету СМТГ та за умови, що вирішення порушених питань належить до компетенції органів місцевого самоврядування та видаткових повноважень, визначених Бюджетним кодексом України).</w:t>
      </w:r>
    </w:p>
    <w:p w14:paraId="41E09F19" w14:textId="77777777" w:rsidR="00F64B6F" w:rsidRPr="0011272D" w:rsidRDefault="00F64B6F" w:rsidP="00F64B6F">
      <w:pPr>
        <w:tabs>
          <w:tab w:val="left" w:pos="1140"/>
        </w:tabs>
        <w:ind w:firstLine="720"/>
      </w:pPr>
      <w:r w:rsidRPr="00BE63F5">
        <w:t>5.4. Затвердити (</w:t>
      </w:r>
      <w:proofErr w:type="spellStart"/>
      <w:r w:rsidRPr="00BE63F5">
        <w:t>унести</w:t>
      </w:r>
      <w:proofErr w:type="spellEnd"/>
      <w:r w:rsidRPr="00BE63F5">
        <w:t xml:space="preserve"> зміни у разі необхідності в діючі) цільові</w:t>
      </w:r>
      <w:r>
        <w:t xml:space="preserve"> програми СМТГ з урахуванням положень </w:t>
      </w:r>
      <w:r w:rsidRPr="000E7D14">
        <w:t xml:space="preserve">Порядку розроблення, </w:t>
      </w:r>
      <w:r>
        <w:t>затвердження та в</w:t>
      </w:r>
      <w:r w:rsidRPr="000E7D14">
        <w:t xml:space="preserve">иконання цільових програм Сумської міської територіальної громади, затвердженого </w:t>
      </w:r>
      <w:r>
        <w:t>рішенням Сумської міської ради від 31 травня 2023 року</w:t>
      </w:r>
      <w:r w:rsidRPr="00D876AD">
        <w:t xml:space="preserve">             </w:t>
      </w:r>
      <w:r>
        <w:t xml:space="preserve">№ 3740 </w:t>
      </w:r>
      <w:r w:rsidRPr="0011272D">
        <w:t>–</w:t>
      </w:r>
      <w:r>
        <w:t xml:space="preserve"> </w:t>
      </w:r>
      <w:r w:rsidRPr="0011272D">
        <w:t>МР</w:t>
      </w:r>
      <w:r>
        <w:t xml:space="preserve"> </w:t>
      </w:r>
      <w:r w:rsidR="00E76D2F">
        <w:t>та</w:t>
      </w:r>
      <w:r>
        <w:t xml:space="preserve"> </w:t>
      </w:r>
      <w:r w:rsidRPr="005E744A">
        <w:t xml:space="preserve">цілей Стратегії розвитку Сумської міської територіальної громади до 2027 року, затвердженої рішенням Сумської міської ради від 31 травня 2023 року № 3739 – МР, та вжити системні заходи </w:t>
      </w:r>
      <w:r w:rsidR="00361FA7">
        <w:t>для</w:t>
      </w:r>
      <w:r w:rsidRPr="005E744A">
        <w:t xml:space="preserve"> оптимізації</w:t>
      </w:r>
      <w:r w:rsidR="00361FA7">
        <w:t xml:space="preserve">  програм</w:t>
      </w:r>
      <w:r w:rsidRPr="005E744A">
        <w:t xml:space="preserve"> </w:t>
      </w:r>
      <w:r>
        <w:t xml:space="preserve">з урахуванням доцільності </w:t>
      </w:r>
      <w:r w:rsidRPr="005E744A">
        <w:t xml:space="preserve">та </w:t>
      </w:r>
      <w:r>
        <w:t>актуальності</w:t>
      </w:r>
      <w:r w:rsidRPr="005E744A">
        <w:t xml:space="preserve"> </w:t>
      </w:r>
      <w:r w:rsidR="00E76D2F">
        <w:t>ї</w:t>
      </w:r>
      <w:r>
        <w:t>х</w:t>
      </w:r>
      <w:r w:rsidRPr="005E744A">
        <w:t xml:space="preserve"> реалізації в умовах правового режиму воєнного стану та/або</w:t>
      </w:r>
      <w:r w:rsidRPr="000E7D14">
        <w:t xml:space="preserve"> </w:t>
      </w:r>
      <w:r>
        <w:t>у післявоєнний час</w:t>
      </w:r>
      <w:r w:rsidRPr="000E7D14">
        <w:t>.</w:t>
      </w:r>
      <w:r>
        <w:t xml:space="preserve"> </w:t>
      </w:r>
    </w:p>
    <w:p w14:paraId="61444A63" w14:textId="77777777" w:rsidR="00F64B6F" w:rsidRPr="0011272D" w:rsidRDefault="00F64B6F" w:rsidP="00F64B6F">
      <w:pPr>
        <w:pStyle w:val="a5"/>
        <w:spacing w:after="0"/>
        <w:ind w:left="0" w:firstLine="709"/>
        <w:rPr>
          <w:bCs/>
        </w:rPr>
      </w:pPr>
      <w:r w:rsidRPr="006144FB">
        <w:rPr>
          <w:bCs/>
        </w:rPr>
        <w:t>5.</w:t>
      </w:r>
      <w:r w:rsidR="00824E74" w:rsidRPr="006144FB">
        <w:rPr>
          <w:bCs/>
        </w:rPr>
        <w:t>5</w:t>
      </w:r>
      <w:r w:rsidRPr="006144FB">
        <w:rPr>
          <w:bCs/>
        </w:rPr>
        <w:t xml:space="preserve">. </w:t>
      </w:r>
      <w:r>
        <w:rPr>
          <w:bCs/>
        </w:rPr>
        <w:t>Включити гендерні аспекти до характеристик бюджетних програм шляхом визначення завдань бюджетної програми та відповідних результативних показників продукту та якості.</w:t>
      </w:r>
    </w:p>
    <w:p w14:paraId="13E69CAC" w14:textId="77777777" w:rsidR="00F64B6F" w:rsidRPr="0011272D" w:rsidRDefault="00F64B6F" w:rsidP="00F64B6F">
      <w:pPr>
        <w:pStyle w:val="a3"/>
        <w:rPr>
          <w:bCs/>
          <w:sz w:val="16"/>
          <w:szCs w:val="16"/>
        </w:rPr>
      </w:pPr>
    </w:p>
    <w:p w14:paraId="11152AC2" w14:textId="77777777" w:rsidR="00F64B6F" w:rsidRPr="00DB1C49" w:rsidRDefault="00F64B6F" w:rsidP="00F64B6F">
      <w:pPr>
        <w:pStyle w:val="a7"/>
        <w:ind w:firstLine="708"/>
        <w:jc w:val="both"/>
        <w:rPr>
          <w:b w:val="0"/>
          <w:sz w:val="28"/>
          <w:szCs w:val="28"/>
        </w:rPr>
      </w:pPr>
      <w:r w:rsidRPr="00DB1C49">
        <w:rPr>
          <w:b w:val="0"/>
          <w:sz w:val="28"/>
          <w:szCs w:val="28"/>
        </w:rPr>
        <w:t xml:space="preserve">6. Установити, що у разі внесення змін до структури виконавчих органів Сумської міської ради, територіальних </w:t>
      </w:r>
      <w:r w:rsidR="00E02D4E">
        <w:rPr>
          <w:b w:val="0"/>
          <w:sz w:val="28"/>
          <w:szCs w:val="28"/>
        </w:rPr>
        <w:t>підрозділів</w:t>
      </w:r>
      <w:r w:rsidRPr="00DB1C49">
        <w:rPr>
          <w:b w:val="0"/>
          <w:sz w:val="28"/>
          <w:szCs w:val="28"/>
        </w:rPr>
        <w:t xml:space="preserve"> </w:t>
      </w:r>
      <w:r w:rsidR="00E02D4E">
        <w:rPr>
          <w:b w:val="0"/>
          <w:sz w:val="28"/>
          <w:szCs w:val="28"/>
        </w:rPr>
        <w:t>центральних органів</w:t>
      </w:r>
      <w:r w:rsidRPr="00DB1C49">
        <w:rPr>
          <w:b w:val="0"/>
          <w:sz w:val="28"/>
          <w:szCs w:val="28"/>
        </w:rPr>
        <w:t xml:space="preserve"> виконавчої влади, відповідальними виконавцями заходів щодо формування дохідної   та видаткової частини проєкту бюджету СМТГ є їх правонаступники та/або органи, яким передані відповідні повноваження.</w:t>
      </w:r>
    </w:p>
    <w:p w14:paraId="741617C2" w14:textId="77777777" w:rsidR="00F64B6F" w:rsidRPr="00DB1C49" w:rsidRDefault="00F64B6F" w:rsidP="00F64B6F">
      <w:pPr>
        <w:rPr>
          <w:sz w:val="12"/>
          <w:szCs w:val="12"/>
        </w:rPr>
      </w:pPr>
    </w:p>
    <w:p w14:paraId="0E9A7207" w14:textId="77777777" w:rsidR="00F64B6F" w:rsidRPr="00DB1C49" w:rsidRDefault="00F64B6F" w:rsidP="00F64B6F">
      <w:pPr>
        <w:pStyle w:val="a3"/>
        <w:ind w:firstLine="684"/>
      </w:pPr>
      <w:r w:rsidRPr="00DB1C49">
        <w:t xml:space="preserve">7. </w:t>
      </w:r>
      <w:r w:rsidRPr="00DB1C49">
        <w:rPr>
          <w:bCs/>
        </w:rPr>
        <w:t>Контроль за виконанням</w:t>
      </w:r>
      <w:r w:rsidRPr="00DB1C49">
        <w:t xml:space="preserve"> даного </w:t>
      </w:r>
      <w:r w:rsidR="00F21A06">
        <w:t>розпорядження</w:t>
      </w:r>
      <w:r w:rsidRPr="00DB1C49">
        <w:t xml:space="preserve"> залишаю за собою.</w:t>
      </w:r>
    </w:p>
    <w:p w14:paraId="56153675" w14:textId="77777777" w:rsidR="00F64B6F" w:rsidRDefault="00F64B6F" w:rsidP="00F64B6F">
      <w:pPr>
        <w:rPr>
          <w:sz w:val="12"/>
          <w:szCs w:val="12"/>
        </w:rPr>
      </w:pPr>
    </w:p>
    <w:p w14:paraId="06D6FE06" w14:textId="77777777" w:rsidR="00F64B6F" w:rsidRDefault="00F64B6F" w:rsidP="00F64B6F">
      <w:pPr>
        <w:rPr>
          <w:sz w:val="12"/>
          <w:szCs w:val="12"/>
        </w:rPr>
      </w:pPr>
    </w:p>
    <w:p w14:paraId="00DBE5A7" w14:textId="77777777" w:rsidR="00424041" w:rsidRDefault="00424041" w:rsidP="00F64B6F">
      <w:pPr>
        <w:rPr>
          <w:sz w:val="12"/>
          <w:szCs w:val="12"/>
        </w:rPr>
      </w:pPr>
    </w:p>
    <w:p w14:paraId="0F05F75C" w14:textId="77777777" w:rsidR="00F64B6F" w:rsidRDefault="00F64B6F" w:rsidP="00F64B6F">
      <w:pPr>
        <w:rPr>
          <w:sz w:val="12"/>
          <w:szCs w:val="12"/>
        </w:rPr>
      </w:pPr>
    </w:p>
    <w:p w14:paraId="72EF4708" w14:textId="77777777" w:rsidR="00F64B6F" w:rsidRDefault="00F64B6F" w:rsidP="00F64B6F">
      <w:pPr>
        <w:pStyle w:val="a3"/>
        <w:ind w:firstLine="684"/>
        <w:rPr>
          <w:b/>
        </w:rPr>
      </w:pPr>
    </w:p>
    <w:p w14:paraId="6084F59A" w14:textId="77777777" w:rsidR="00A218AB" w:rsidRPr="0011272D" w:rsidRDefault="00A218AB" w:rsidP="00F64B6F">
      <w:pPr>
        <w:pStyle w:val="a3"/>
        <w:ind w:firstLine="684"/>
        <w:rPr>
          <w:b/>
        </w:rPr>
      </w:pPr>
    </w:p>
    <w:p w14:paraId="67CF088F" w14:textId="77777777" w:rsidR="00F64B6F" w:rsidRDefault="00F64B6F" w:rsidP="00F64B6F">
      <w:pPr>
        <w:pStyle w:val="a3"/>
      </w:pPr>
      <w:r w:rsidRPr="00B9738E">
        <w:t xml:space="preserve">Начальник                                                                    </w:t>
      </w:r>
      <w:r w:rsidR="00257494">
        <w:t xml:space="preserve">   </w:t>
      </w:r>
      <w:r w:rsidRPr="00B9738E">
        <w:t xml:space="preserve"> </w:t>
      </w:r>
      <w:r w:rsidR="00626FC0">
        <w:t xml:space="preserve">     </w:t>
      </w:r>
      <w:r w:rsidRPr="00B9738E">
        <w:t>Олексій ДРОЗДЕНКО</w:t>
      </w:r>
    </w:p>
    <w:p w14:paraId="0C883A35" w14:textId="77777777" w:rsidR="00FE5FDA" w:rsidRDefault="00FE5FDA" w:rsidP="00F64B6F">
      <w:pPr>
        <w:pStyle w:val="a3"/>
      </w:pPr>
    </w:p>
    <w:p w14:paraId="612DB814" w14:textId="77777777" w:rsidR="00FE5FDA" w:rsidRPr="00B9738E" w:rsidRDefault="00FE5FDA" w:rsidP="00F64B6F">
      <w:pPr>
        <w:pStyle w:val="a3"/>
      </w:pPr>
    </w:p>
    <w:p w14:paraId="5E66F785" w14:textId="2327AF0A" w:rsidR="005A7766" w:rsidRPr="00E604E2" w:rsidRDefault="005A7766">
      <w:pPr>
        <w:spacing w:after="160" w:line="259" w:lineRule="auto"/>
        <w:jc w:val="left"/>
        <w:rPr>
          <w:b/>
          <w:lang w:val="en-US"/>
        </w:rPr>
      </w:pPr>
    </w:p>
    <w:sectPr w:rsidR="005A7766" w:rsidRPr="00E6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1AA2"/>
    <w:multiLevelType w:val="hybridMultilevel"/>
    <w:tmpl w:val="DF541A4E"/>
    <w:lvl w:ilvl="0" w:tplc="8300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005"/>
    <w:multiLevelType w:val="hybridMultilevel"/>
    <w:tmpl w:val="2CBA452E"/>
    <w:lvl w:ilvl="0" w:tplc="8300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12F21"/>
    <w:multiLevelType w:val="hybridMultilevel"/>
    <w:tmpl w:val="9968BF26"/>
    <w:lvl w:ilvl="0" w:tplc="3AB6D0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A0515"/>
    <w:multiLevelType w:val="hybridMultilevel"/>
    <w:tmpl w:val="AD1808F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85884"/>
    <w:multiLevelType w:val="hybridMultilevel"/>
    <w:tmpl w:val="6826E254"/>
    <w:lvl w:ilvl="0" w:tplc="70F27126">
      <w:start w:val="1"/>
      <w:numFmt w:val="decimal"/>
      <w:lvlText w:val="%1."/>
      <w:lvlJc w:val="left"/>
      <w:pPr>
        <w:ind w:left="1734" w:hanging="1050"/>
      </w:pPr>
      <w:rPr>
        <w:rFonts w:hint="default"/>
        <w:b w:val="0"/>
      </w:rPr>
    </w:lvl>
    <w:lvl w:ilvl="1" w:tplc="87E264CE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 w15:restartNumberingAfterBreak="0">
    <w:nsid w:val="690A6575"/>
    <w:multiLevelType w:val="hybridMultilevel"/>
    <w:tmpl w:val="FF18F2F0"/>
    <w:lvl w:ilvl="0" w:tplc="9EAA7CA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87E264CE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77F70553"/>
    <w:multiLevelType w:val="hybridMultilevel"/>
    <w:tmpl w:val="B4EAE474"/>
    <w:lvl w:ilvl="0" w:tplc="9306E0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5882981">
    <w:abstractNumId w:val="4"/>
  </w:num>
  <w:num w:numId="2" w16cid:durableId="314723052">
    <w:abstractNumId w:val="5"/>
  </w:num>
  <w:num w:numId="3" w16cid:durableId="2024088842">
    <w:abstractNumId w:val="2"/>
  </w:num>
  <w:num w:numId="4" w16cid:durableId="841968785">
    <w:abstractNumId w:val="0"/>
  </w:num>
  <w:num w:numId="5" w16cid:durableId="442920000">
    <w:abstractNumId w:val="1"/>
  </w:num>
  <w:num w:numId="6" w16cid:durableId="1001851265">
    <w:abstractNumId w:val="0"/>
  </w:num>
  <w:num w:numId="7" w16cid:durableId="864832014">
    <w:abstractNumId w:val="0"/>
  </w:num>
  <w:num w:numId="8" w16cid:durableId="477452921">
    <w:abstractNumId w:val="6"/>
  </w:num>
  <w:num w:numId="9" w16cid:durableId="140734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6F"/>
    <w:rsid w:val="00067DA2"/>
    <w:rsid w:val="00070DC5"/>
    <w:rsid w:val="00082205"/>
    <w:rsid w:val="0009768E"/>
    <w:rsid w:val="000F0B3B"/>
    <w:rsid w:val="001076E0"/>
    <w:rsid w:val="00131506"/>
    <w:rsid w:val="001444FE"/>
    <w:rsid w:val="00155776"/>
    <w:rsid w:val="001A0348"/>
    <w:rsid w:val="001D394B"/>
    <w:rsid w:val="00222BD3"/>
    <w:rsid w:val="00226353"/>
    <w:rsid w:val="00257494"/>
    <w:rsid w:val="00274179"/>
    <w:rsid w:val="00281BD2"/>
    <w:rsid w:val="002A7F2B"/>
    <w:rsid w:val="002B6806"/>
    <w:rsid w:val="003177E4"/>
    <w:rsid w:val="00361FA7"/>
    <w:rsid w:val="003A7B9E"/>
    <w:rsid w:val="003B4B8A"/>
    <w:rsid w:val="00414B7A"/>
    <w:rsid w:val="00424041"/>
    <w:rsid w:val="00450ED7"/>
    <w:rsid w:val="00467E0C"/>
    <w:rsid w:val="00475FB5"/>
    <w:rsid w:val="00482C5B"/>
    <w:rsid w:val="00521D98"/>
    <w:rsid w:val="005A0AA9"/>
    <w:rsid w:val="005A2B37"/>
    <w:rsid w:val="005A7766"/>
    <w:rsid w:val="006144FB"/>
    <w:rsid w:val="00626FC0"/>
    <w:rsid w:val="00647D5D"/>
    <w:rsid w:val="00665D6B"/>
    <w:rsid w:val="00683F8B"/>
    <w:rsid w:val="006C32D3"/>
    <w:rsid w:val="00737D57"/>
    <w:rsid w:val="00740F6F"/>
    <w:rsid w:val="00743838"/>
    <w:rsid w:val="007534BF"/>
    <w:rsid w:val="00791F5E"/>
    <w:rsid w:val="00792725"/>
    <w:rsid w:val="00824E74"/>
    <w:rsid w:val="008667C3"/>
    <w:rsid w:val="008A3792"/>
    <w:rsid w:val="008D56BD"/>
    <w:rsid w:val="008F56D7"/>
    <w:rsid w:val="00921EC2"/>
    <w:rsid w:val="009B2542"/>
    <w:rsid w:val="009B56E8"/>
    <w:rsid w:val="00A218AB"/>
    <w:rsid w:val="00A8797F"/>
    <w:rsid w:val="00B00C0E"/>
    <w:rsid w:val="00B0467B"/>
    <w:rsid w:val="00B1507B"/>
    <w:rsid w:val="00B57FDF"/>
    <w:rsid w:val="00B71C4C"/>
    <w:rsid w:val="00BE63F5"/>
    <w:rsid w:val="00C30694"/>
    <w:rsid w:val="00C828CB"/>
    <w:rsid w:val="00CA6D52"/>
    <w:rsid w:val="00D03066"/>
    <w:rsid w:val="00D1403B"/>
    <w:rsid w:val="00D21B11"/>
    <w:rsid w:val="00D604F2"/>
    <w:rsid w:val="00DB1C49"/>
    <w:rsid w:val="00DE274E"/>
    <w:rsid w:val="00DF3619"/>
    <w:rsid w:val="00E02D4E"/>
    <w:rsid w:val="00E215FB"/>
    <w:rsid w:val="00E32645"/>
    <w:rsid w:val="00E604E2"/>
    <w:rsid w:val="00E76D2F"/>
    <w:rsid w:val="00EC0F25"/>
    <w:rsid w:val="00F21A06"/>
    <w:rsid w:val="00F5272E"/>
    <w:rsid w:val="00F64B6F"/>
    <w:rsid w:val="00F94F1C"/>
    <w:rsid w:val="00FD3F32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0309"/>
  <w15:chartTrackingRefBased/>
  <w15:docId w15:val="{9ED179CA-8114-4BA0-9CD5-88114544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B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F64B6F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4B6F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F64B6F"/>
  </w:style>
  <w:style w:type="character" w:customStyle="1" w:styleId="a4">
    <w:name w:val="Основний текст Знак"/>
    <w:basedOn w:val="a0"/>
    <w:link w:val="a3"/>
    <w:rsid w:val="00F64B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Body Text 3"/>
    <w:basedOn w:val="a"/>
    <w:link w:val="30"/>
    <w:rsid w:val="00F64B6F"/>
  </w:style>
  <w:style w:type="character" w:customStyle="1" w:styleId="30">
    <w:name w:val="Основний текст 3 Знак"/>
    <w:basedOn w:val="a0"/>
    <w:link w:val="3"/>
    <w:rsid w:val="00F64B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F64B6F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F64B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caption"/>
    <w:basedOn w:val="a"/>
    <w:next w:val="a"/>
    <w:qFormat/>
    <w:rsid w:val="00F64B6F"/>
    <w:pPr>
      <w:jc w:val="right"/>
    </w:pPr>
    <w:rPr>
      <w:b/>
      <w:sz w:val="32"/>
      <w:szCs w:val="20"/>
    </w:rPr>
  </w:style>
  <w:style w:type="character" w:customStyle="1" w:styleId="a8">
    <w:name w:val="Основной текст_"/>
    <w:qFormat/>
    <w:locked/>
    <w:rsid w:val="00F64B6F"/>
    <w:rPr>
      <w:spacing w:val="2"/>
      <w:sz w:val="25"/>
      <w:szCs w:val="25"/>
      <w:lang w:bidi="ar-SA"/>
    </w:rPr>
  </w:style>
  <w:style w:type="paragraph" w:styleId="a9">
    <w:name w:val="List Paragraph"/>
    <w:basedOn w:val="a"/>
    <w:uiPriority w:val="34"/>
    <w:qFormat/>
    <w:rsid w:val="00F64B6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74179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7417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5800</Words>
  <Characters>3306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Дарья Пономаренко</cp:lastModifiedBy>
  <cp:revision>37</cp:revision>
  <cp:lastPrinted>2024-09-20T10:06:00Z</cp:lastPrinted>
  <dcterms:created xsi:type="dcterms:W3CDTF">2024-09-16T13:40:00Z</dcterms:created>
  <dcterms:modified xsi:type="dcterms:W3CDTF">2024-10-02T11:37:00Z</dcterms:modified>
</cp:coreProperties>
</file>