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3C189" w14:textId="77777777" w:rsidR="00713458" w:rsidRPr="004C7A41" w:rsidRDefault="00713458" w:rsidP="00206F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7D5E7A6" w14:textId="77777777" w:rsidR="00713458" w:rsidRPr="004C7A41" w:rsidRDefault="00713458" w:rsidP="007134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C7A41">
        <w:rPr>
          <w:rFonts w:ascii="Times New Roman" w:hAnsi="Times New Roman" w:cs="Times New Roman"/>
          <w:b/>
          <w:sz w:val="32"/>
          <w:szCs w:val="32"/>
          <w:lang w:val="uk-UA"/>
        </w:rPr>
        <w:t>Інформація</w:t>
      </w:r>
    </w:p>
    <w:p w14:paraId="3F8E07DE" w14:textId="415DA95F" w:rsidR="00713458" w:rsidRPr="004C7A41" w:rsidRDefault="00713458" w:rsidP="00713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A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стан врахування пропозицій учасників електронних консультацій з громадськістю щодо проєкту бюджету Сумської міської територіальної громади на 2022 рік та проєкту Програми економічного і соціального розвитку Сумської міської територіальної громади на 2022 рік та основних напрямів розвитку на 2023 – 2024 роки</w:t>
      </w:r>
      <w:r w:rsidR="00F87518" w:rsidRPr="004C7A4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4C7A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6BE42F4" w14:textId="42F65945" w:rsidR="00713458" w:rsidRPr="004C7A41" w:rsidRDefault="00713458" w:rsidP="00713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A41">
        <w:rPr>
          <w:rFonts w:ascii="Times New Roman" w:hAnsi="Times New Roman" w:cs="Times New Roman"/>
          <w:b/>
          <w:sz w:val="28"/>
          <w:szCs w:val="28"/>
          <w:lang w:val="uk-UA"/>
        </w:rPr>
        <w:t>за підсумками 2022 року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036"/>
        <w:gridCol w:w="866"/>
        <w:gridCol w:w="10072"/>
      </w:tblGrid>
      <w:tr w:rsidR="0043524C" w:rsidRPr="004C7A41" w14:paraId="64C55143" w14:textId="77777777" w:rsidTr="0043524C">
        <w:trPr>
          <w:trHeight w:val="482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5BE81B70" w14:textId="77777777" w:rsidR="0043524C" w:rsidRPr="004C7A41" w:rsidRDefault="0043524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286" w:type="pct"/>
            <w:vAlign w:val="center"/>
          </w:tcPr>
          <w:p w14:paraId="5A0AD405" w14:textId="2435C9FD" w:rsidR="0043524C" w:rsidRPr="004C7A41" w:rsidRDefault="0043524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Категорія питань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4C1FA4F" w14:textId="6E30D42C" w:rsidR="0043524C" w:rsidRPr="004C7A41" w:rsidRDefault="0043524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Кіл-</w:t>
            </w:r>
            <w:proofErr w:type="spellStart"/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ть</w:t>
            </w:r>
            <w:proofErr w:type="spellEnd"/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питань</w:t>
            </w:r>
          </w:p>
        </w:tc>
        <w:tc>
          <w:tcPr>
            <w:tcW w:w="3209" w:type="pct"/>
            <w:shd w:val="clear" w:color="auto" w:fill="auto"/>
            <w:vAlign w:val="center"/>
            <w:hideMark/>
          </w:tcPr>
          <w:p w14:paraId="30AC8D7B" w14:textId="3E92C108" w:rsidR="0043524C" w:rsidRPr="004C7A41" w:rsidRDefault="0043524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Інформація виконавчих органів Сумської міської ради за результатами розгляду пропозицій </w:t>
            </w:r>
          </w:p>
        </w:tc>
      </w:tr>
      <w:tr w:rsidR="0043524C" w:rsidRPr="004C7A41" w14:paraId="65032F3E" w14:textId="77777777" w:rsidTr="0043524C">
        <w:trPr>
          <w:trHeight w:val="20"/>
        </w:trPr>
        <w:tc>
          <w:tcPr>
            <w:tcW w:w="5000" w:type="pct"/>
            <w:gridSpan w:val="4"/>
            <w:shd w:val="clear" w:color="auto" w:fill="FFD966" w:themeFill="accent4" w:themeFillTint="99"/>
          </w:tcPr>
          <w:p w14:paraId="4857A289" w14:textId="6E21F39F" w:rsidR="0043524C" w:rsidRPr="004C7A41" w:rsidRDefault="0043524C" w:rsidP="00C93337">
            <w:pPr>
              <w:pStyle w:val="ac"/>
              <w:spacing w:before="0" w:beforeAutospacing="0" w:after="0" w:afterAutospacing="0" w:line="276" w:lineRule="auto"/>
              <w:ind w:firstLine="205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C7A41">
              <w:rPr>
                <w:b/>
                <w:bCs/>
                <w:color w:val="000000"/>
                <w:sz w:val="28"/>
                <w:szCs w:val="28"/>
                <w:lang w:val="uk-UA"/>
              </w:rPr>
              <w:t>Департамент інфраструктури міста</w:t>
            </w:r>
          </w:p>
        </w:tc>
      </w:tr>
      <w:tr w:rsidR="0043524C" w:rsidRPr="004C7A41" w14:paraId="46CD96F8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48C0F9E6" w14:textId="77777777" w:rsidR="0043524C" w:rsidRPr="004C7A41" w:rsidRDefault="0043524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286" w:type="pct"/>
          </w:tcPr>
          <w:p w14:paraId="6D00C170" w14:textId="39A3BDD2" w:rsidR="0043524C" w:rsidRPr="004C7A41" w:rsidRDefault="0043524C" w:rsidP="00C9333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  <w:lang w:val="uk-UA"/>
              </w:rPr>
            </w:pPr>
            <w:r w:rsidRPr="004C7A41">
              <w:rPr>
                <w:rFonts w:ascii="Times New Roman" w:hAnsi="Times New Roman" w:cs="Times New Roman"/>
                <w:b/>
                <w:bCs/>
                <w:shd w:val="clear" w:color="auto" w:fill="FFFFFF"/>
                <w:lang w:val="uk-UA"/>
              </w:rPr>
              <w:t>Всього питань</w:t>
            </w:r>
          </w:p>
        </w:tc>
        <w:tc>
          <w:tcPr>
            <w:tcW w:w="276" w:type="pct"/>
            <w:shd w:val="clear" w:color="auto" w:fill="auto"/>
          </w:tcPr>
          <w:p w14:paraId="7FD71AD6" w14:textId="33ACA6F7" w:rsidR="0043524C" w:rsidRPr="004C7A41" w:rsidRDefault="0043524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14</w:t>
            </w:r>
          </w:p>
        </w:tc>
        <w:tc>
          <w:tcPr>
            <w:tcW w:w="3209" w:type="pct"/>
            <w:shd w:val="clear" w:color="auto" w:fill="auto"/>
          </w:tcPr>
          <w:p w14:paraId="7A2D7B06" w14:textId="77777777" w:rsidR="0043524C" w:rsidRPr="004C7A41" w:rsidRDefault="0043524C" w:rsidP="00C93337">
            <w:pPr>
              <w:pStyle w:val="ac"/>
              <w:spacing w:before="0" w:beforeAutospacing="0" w:after="0" w:afterAutospacing="0" w:line="276" w:lineRule="auto"/>
              <w:ind w:firstLine="205"/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43524C" w:rsidRPr="004C7A41" w14:paraId="53BC06A9" w14:textId="77777777" w:rsidTr="0043524C">
        <w:trPr>
          <w:trHeight w:val="20"/>
        </w:trPr>
        <w:tc>
          <w:tcPr>
            <w:tcW w:w="229" w:type="pct"/>
            <w:shd w:val="clear" w:color="auto" w:fill="FFF2CC" w:themeFill="accent4" w:themeFillTint="33"/>
            <w:vAlign w:val="center"/>
          </w:tcPr>
          <w:p w14:paraId="58257711" w14:textId="77777777" w:rsidR="0043524C" w:rsidRPr="004C7A41" w:rsidRDefault="0043524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6" w:type="pct"/>
            <w:shd w:val="clear" w:color="auto" w:fill="FFF2CC" w:themeFill="accent4" w:themeFillTint="33"/>
          </w:tcPr>
          <w:p w14:paraId="4A2F0FDE" w14:textId="77777777" w:rsidR="0043524C" w:rsidRPr="004C7A41" w:rsidRDefault="0043524C" w:rsidP="00C9333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Благоустрій території (капітальний ремонт доріг, облаштування пішохідних зон)</w:t>
            </w:r>
          </w:p>
        </w:tc>
        <w:tc>
          <w:tcPr>
            <w:tcW w:w="276" w:type="pct"/>
            <w:shd w:val="clear" w:color="auto" w:fill="FFF2CC" w:themeFill="accent4" w:themeFillTint="33"/>
          </w:tcPr>
          <w:p w14:paraId="0106DDD6" w14:textId="77777777" w:rsidR="0043524C" w:rsidRPr="004C7A41" w:rsidRDefault="0043524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209" w:type="pct"/>
            <w:shd w:val="clear" w:color="auto" w:fill="FFF2CC" w:themeFill="accent4" w:themeFillTint="33"/>
          </w:tcPr>
          <w:p w14:paraId="7F791230" w14:textId="77777777" w:rsidR="0043524C" w:rsidRPr="004C7A41" w:rsidRDefault="0043524C" w:rsidP="00C93337">
            <w:pPr>
              <w:pStyle w:val="ac"/>
              <w:spacing w:before="0" w:beforeAutospacing="0" w:after="0" w:afterAutospacing="0" w:line="276" w:lineRule="auto"/>
              <w:ind w:firstLine="205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F5108C" w:rsidRPr="00A63E78" w14:paraId="7A1F4112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6F586964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</w:t>
            </w:r>
          </w:p>
        </w:tc>
        <w:tc>
          <w:tcPr>
            <w:tcW w:w="1286" w:type="pct"/>
          </w:tcPr>
          <w:p w14:paraId="70B64589" w14:textId="74AAF39D" w:rsidR="00F5108C" w:rsidRPr="004C7A41" w:rsidRDefault="00F5108C" w:rsidP="00C9333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7A4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Капітальний ремонт дороги по                          вул. Інтернаціоналістів на ділянці від перехрестя проспект Михайла </w:t>
            </w:r>
            <w:proofErr w:type="spellStart"/>
            <w:r w:rsidRPr="004C7A4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Лушпи</w:t>
            </w:r>
            <w:proofErr w:type="spellEnd"/>
            <w:r w:rsidRPr="004C7A4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до вул. Заливна</w:t>
            </w:r>
          </w:p>
        </w:tc>
        <w:tc>
          <w:tcPr>
            <w:tcW w:w="276" w:type="pct"/>
            <w:shd w:val="clear" w:color="auto" w:fill="auto"/>
          </w:tcPr>
          <w:p w14:paraId="78697D61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209" w:type="pct"/>
            <w:vMerge w:val="restart"/>
            <w:shd w:val="clear" w:color="auto" w:fill="auto"/>
          </w:tcPr>
          <w:p w14:paraId="28E31B21" w14:textId="0C5D9AFE" w:rsidR="00D272FA" w:rsidRDefault="00F5108C" w:rsidP="00C93337">
            <w:pPr>
              <w:spacing w:after="0" w:line="276" w:lineRule="auto"/>
              <w:contextualSpacing/>
              <w:jc w:val="both"/>
              <w:rPr>
                <w:b/>
                <w:color w:val="000000"/>
                <w:lang w:val="uk-UA"/>
              </w:rPr>
            </w:pPr>
            <w:r w:rsidRPr="005264F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У зв’язку з недовиконанням дохідної частини бюджету СМТГ та </w:t>
            </w:r>
            <w:r w:rsidRPr="005264F9">
              <w:rPr>
                <w:rFonts w:ascii="Times New Roman" w:hAnsi="Times New Roman" w:cs="Times New Roman"/>
                <w:lang w:val="uk-UA"/>
              </w:rPr>
              <w:t>введенням обмеження щодо здійснення видатків органами державного казначейства в умовах воєнного стану, зокрема капітальних (поста</w:t>
            </w:r>
            <w:r w:rsidR="00A44C1D">
              <w:rPr>
                <w:rFonts w:ascii="Times New Roman" w:hAnsi="Times New Roman" w:cs="Times New Roman"/>
                <w:lang w:val="uk-UA"/>
              </w:rPr>
              <w:t>нова КМУ від 9 червня 2021 р. № </w:t>
            </w:r>
            <w:r w:rsidRPr="005264F9">
              <w:rPr>
                <w:rFonts w:ascii="Times New Roman" w:hAnsi="Times New Roman" w:cs="Times New Roman"/>
                <w:lang w:val="uk-UA"/>
              </w:rPr>
              <w:t xml:space="preserve">590 «Про затвердження Порядку виконання повноважень Державною казначейською службою в особливому режимі в умовах воєнного стану» (зі змінами)), </w:t>
            </w:r>
            <w:r>
              <w:rPr>
                <w:rFonts w:ascii="Times New Roman" w:hAnsi="Times New Roman" w:cs="Times New Roman"/>
                <w:lang w:val="uk-UA"/>
              </w:rPr>
              <w:t>у 2022 році не було можливості виконувати роботи з капітального ремонту доріг за вказаними адресами</w:t>
            </w:r>
            <w:r w:rsidRPr="005264F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  <w:p w14:paraId="45C026BB" w14:textId="77777777" w:rsidR="00D272FA" w:rsidRPr="00D272FA" w:rsidRDefault="00D272FA" w:rsidP="00D272FA">
            <w:pPr>
              <w:rPr>
                <w:lang w:val="uk-UA"/>
              </w:rPr>
            </w:pPr>
          </w:p>
          <w:p w14:paraId="04C70E12" w14:textId="77777777" w:rsidR="00D272FA" w:rsidRPr="00D272FA" w:rsidRDefault="00D272FA" w:rsidP="00D272FA">
            <w:pPr>
              <w:rPr>
                <w:lang w:val="uk-UA"/>
              </w:rPr>
            </w:pPr>
          </w:p>
          <w:p w14:paraId="5FD3FDD9" w14:textId="77777777" w:rsidR="00D272FA" w:rsidRPr="00D272FA" w:rsidRDefault="00D272FA" w:rsidP="00D272FA">
            <w:pPr>
              <w:rPr>
                <w:lang w:val="uk-UA"/>
              </w:rPr>
            </w:pPr>
          </w:p>
          <w:p w14:paraId="3C1D7D23" w14:textId="77777777" w:rsidR="00D272FA" w:rsidRPr="00D272FA" w:rsidRDefault="00D272FA" w:rsidP="00D272FA">
            <w:pPr>
              <w:rPr>
                <w:lang w:val="uk-UA"/>
              </w:rPr>
            </w:pPr>
          </w:p>
          <w:p w14:paraId="584B1D92" w14:textId="77777777" w:rsidR="00D272FA" w:rsidRPr="00D272FA" w:rsidRDefault="00D272FA" w:rsidP="00D272FA">
            <w:pPr>
              <w:rPr>
                <w:lang w:val="uk-UA"/>
              </w:rPr>
            </w:pPr>
          </w:p>
          <w:p w14:paraId="0C7F75BC" w14:textId="77777777" w:rsidR="00D272FA" w:rsidRPr="00D272FA" w:rsidRDefault="00D272FA" w:rsidP="00D272FA">
            <w:pPr>
              <w:rPr>
                <w:lang w:val="uk-UA"/>
              </w:rPr>
            </w:pPr>
          </w:p>
          <w:p w14:paraId="41AAB9E8" w14:textId="77777777" w:rsidR="00D272FA" w:rsidRPr="00D272FA" w:rsidRDefault="00D272FA" w:rsidP="00D272FA">
            <w:pPr>
              <w:rPr>
                <w:lang w:val="uk-UA"/>
              </w:rPr>
            </w:pPr>
          </w:p>
          <w:p w14:paraId="2F66476F" w14:textId="77777777" w:rsidR="00D272FA" w:rsidRPr="00D272FA" w:rsidRDefault="00D272FA" w:rsidP="00D272FA">
            <w:pPr>
              <w:rPr>
                <w:lang w:val="uk-UA"/>
              </w:rPr>
            </w:pPr>
          </w:p>
          <w:p w14:paraId="03DF167E" w14:textId="77777777" w:rsidR="00D272FA" w:rsidRPr="00D272FA" w:rsidRDefault="00D272FA" w:rsidP="00D272FA">
            <w:pPr>
              <w:rPr>
                <w:lang w:val="uk-UA"/>
              </w:rPr>
            </w:pPr>
          </w:p>
          <w:p w14:paraId="0360BB96" w14:textId="01CF2C31" w:rsidR="00F5108C" w:rsidRPr="00D272FA" w:rsidRDefault="00F5108C" w:rsidP="00D272FA">
            <w:pPr>
              <w:rPr>
                <w:lang w:val="uk-UA"/>
              </w:rPr>
            </w:pPr>
          </w:p>
        </w:tc>
      </w:tr>
      <w:tr w:rsidR="00F5108C" w:rsidRPr="005264F9" w14:paraId="24ED6FD3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1C104900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1.2.</w:t>
            </w:r>
          </w:p>
        </w:tc>
        <w:tc>
          <w:tcPr>
            <w:tcW w:w="1286" w:type="pct"/>
          </w:tcPr>
          <w:p w14:paraId="0305E6E2" w14:textId="68E875E9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Відремонтувати відрізок дороги від                  вул. Прокоф'єва до вул. генерала </w:t>
            </w:r>
            <w:proofErr w:type="spellStart"/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Чеснова</w:t>
            </w:r>
            <w:proofErr w:type="spellEnd"/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біля буд. 12 вул. 2-га Харківська. Повністю зруйнований спуск та вулиця.</w:t>
            </w:r>
          </w:p>
        </w:tc>
        <w:tc>
          <w:tcPr>
            <w:tcW w:w="276" w:type="pct"/>
            <w:shd w:val="clear" w:color="auto" w:fill="auto"/>
          </w:tcPr>
          <w:p w14:paraId="3B5087EE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209" w:type="pct"/>
            <w:vMerge/>
            <w:shd w:val="clear" w:color="auto" w:fill="auto"/>
          </w:tcPr>
          <w:p w14:paraId="43D4A32A" w14:textId="499EF59E" w:rsidR="00F5108C" w:rsidRPr="005264F9" w:rsidRDefault="00F5108C" w:rsidP="00C93337">
            <w:pPr>
              <w:tabs>
                <w:tab w:val="left" w:pos="6237"/>
                <w:tab w:val="left" w:pos="6379"/>
                <w:tab w:val="left" w:pos="6521"/>
              </w:tabs>
              <w:spacing w:after="0" w:line="276" w:lineRule="auto"/>
              <w:contextualSpacing/>
              <w:jc w:val="both"/>
              <w:rPr>
                <w:color w:val="000000"/>
                <w:lang w:val="uk-UA"/>
              </w:rPr>
            </w:pPr>
          </w:p>
        </w:tc>
      </w:tr>
      <w:tr w:rsidR="00F5108C" w:rsidRPr="005264F9" w14:paraId="058F2D16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43E7AE92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1.3.</w:t>
            </w:r>
          </w:p>
        </w:tc>
        <w:tc>
          <w:tcPr>
            <w:tcW w:w="1286" w:type="pct"/>
          </w:tcPr>
          <w:p w14:paraId="17D6FEC5" w14:textId="4AC20EEF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Відремонтувати відрізок дороги від                    вул. генерала </w:t>
            </w:r>
            <w:proofErr w:type="spellStart"/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Чеснова</w:t>
            </w:r>
            <w:proofErr w:type="spellEnd"/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біля будинку 12 на вулиці 2-га Харківська. </w:t>
            </w:r>
          </w:p>
        </w:tc>
        <w:tc>
          <w:tcPr>
            <w:tcW w:w="276" w:type="pct"/>
            <w:shd w:val="clear" w:color="auto" w:fill="auto"/>
          </w:tcPr>
          <w:p w14:paraId="331D046D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209" w:type="pct"/>
            <w:vMerge/>
            <w:shd w:val="clear" w:color="auto" w:fill="auto"/>
          </w:tcPr>
          <w:p w14:paraId="32E49A19" w14:textId="0B7AF6AB" w:rsidR="00F5108C" w:rsidRPr="005264F9" w:rsidRDefault="00F5108C" w:rsidP="00C93337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5108C" w:rsidRPr="005264F9" w14:paraId="2402A2C9" w14:textId="77777777" w:rsidTr="0043524C">
        <w:trPr>
          <w:trHeight w:val="20"/>
        </w:trPr>
        <w:tc>
          <w:tcPr>
            <w:tcW w:w="229" w:type="pct"/>
            <w:shd w:val="clear" w:color="auto" w:fill="auto"/>
            <w:hideMark/>
          </w:tcPr>
          <w:p w14:paraId="60C15791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1.4.</w:t>
            </w:r>
          </w:p>
        </w:tc>
        <w:tc>
          <w:tcPr>
            <w:tcW w:w="1286" w:type="pct"/>
          </w:tcPr>
          <w:p w14:paraId="0B417A51" w14:textId="1E83EF4E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Прошу вас запланувати на 2022 рік ремонт території по вулиці Харківська між будинками 5, 3/2, 3/1 та 1-1:</w:t>
            </w:r>
          </w:p>
          <w:p w14:paraId="580C2539" w14:textId="3CD909E9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між будинками 5 і 3/2 є територія біля сміттєвого майданчика, яка має бути зеленою зоною, але фактично просто паркування в </w:t>
            </w:r>
            <w:proofErr w:type="spellStart"/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багні</w:t>
            </w:r>
            <w:proofErr w:type="spellEnd"/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де знищені всі зелені насадження. Має сенс зменшити частину </w:t>
            </w: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«зеленої зони» для паркування, а іншу частину зробити недоступною для заїзду машин;</w:t>
            </w: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- у дворі будинку 1-1 має бути продовження дороги (лише для пішоходів). Люди йдуть до Мануфактури через арку будинку 1-1 і найкоротший шлях пролягає через величезне поле багна з машинами. Зробіть, будь ласка, хоча б вузеньку пішохідну доріжку. Було б добре подумати про виділення додаткових місць для паркування, які хоча б були засипані гравієм та були якось обмежені, щоб залишити частину дворів людям без машин.</w:t>
            </w:r>
          </w:p>
        </w:tc>
        <w:tc>
          <w:tcPr>
            <w:tcW w:w="276" w:type="pct"/>
            <w:shd w:val="clear" w:color="auto" w:fill="auto"/>
          </w:tcPr>
          <w:p w14:paraId="56D1FCE7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</w:t>
            </w:r>
          </w:p>
        </w:tc>
        <w:tc>
          <w:tcPr>
            <w:tcW w:w="3209" w:type="pct"/>
            <w:vMerge/>
            <w:shd w:val="clear" w:color="auto" w:fill="auto"/>
          </w:tcPr>
          <w:p w14:paraId="70A65F49" w14:textId="08DF44D6" w:rsidR="00F5108C" w:rsidRPr="005264F9" w:rsidRDefault="00F5108C" w:rsidP="00C93337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108C" w:rsidRPr="00CE243E" w14:paraId="7634DD8B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142BCD18" w14:textId="04182080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t>1.5.</w:t>
            </w:r>
          </w:p>
        </w:tc>
        <w:tc>
          <w:tcPr>
            <w:tcW w:w="1286" w:type="pct"/>
          </w:tcPr>
          <w:p w14:paraId="212FAA94" w14:textId="02621236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Впровадження на дорогах міста оновлених Державних будівельних норм, пов'язаних з підвищення безпеки учасників дорожнього руху, де було за основу взято концепцію </w:t>
            </w:r>
            <w:proofErr w:type="spellStart"/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t>VisionZero</w:t>
            </w:r>
            <w:proofErr w:type="spellEnd"/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t>. Її мета – зведення цифри смертності на дорозі до нуля завдяки продуманій системі безпеки, а саме:</w:t>
            </w:r>
          </w:p>
          <w:p w14:paraId="3CAFB9B8" w14:textId="009611A4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t>1) Нерегульовані пішохідні переходи робити в один рівень з тротуаром, який фактично є аналогом лежачого поліцейського, але йде по усій ширині переходу. Таким чином це заспокоює трафік і змусить водіїв зменшити швидкість в обов'язковому порядку.</w:t>
            </w:r>
          </w:p>
          <w:p w14:paraId="3C74AC66" w14:textId="7777777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2) По центру нерегульованих пішохідних переходах побудувати підняті над дорогою острівки безпеки, </w:t>
            </w:r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які </w:t>
            </w:r>
            <w:proofErr w:type="spellStart"/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t>звузять</w:t>
            </w:r>
            <w:proofErr w:type="spellEnd"/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проїзну частину і, таким чином, зменшать швидкість проїзду біля них.</w:t>
            </w:r>
          </w:p>
          <w:p w14:paraId="0EABD8A5" w14:textId="43D08B93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t>Всі ці заходи вже почали застосовувати у різних містах України, що робить їх значно безпечнішими і комфортнішими для мешканців.</w:t>
            </w:r>
          </w:p>
        </w:tc>
        <w:tc>
          <w:tcPr>
            <w:tcW w:w="276" w:type="pct"/>
            <w:shd w:val="clear" w:color="auto" w:fill="auto"/>
          </w:tcPr>
          <w:p w14:paraId="11D20557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</w:t>
            </w:r>
          </w:p>
        </w:tc>
        <w:tc>
          <w:tcPr>
            <w:tcW w:w="3209" w:type="pct"/>
            <w:shd w:val="clear" w:color="auto" w:fill="auto"/>
          </w:tcPr>
          <w:p w14:paraId="412387CA" w14:textId="29DC6C64" w:rsidR="00F5108C" w:rsidRPr="005264F9" w:rsidRDefault="00F5108C" w:rsidP="00C93337">
            <w:pPr>
              <w:tabs>
                <w:tab w:val="left" w:pos="708"/>
                <w:tab w:val="left" w:pos="1416"/>
                <w:tab w:val="left" w:pos="2124"/>
                <w:tab w:val="center" w:pos="503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5264F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У зв’язку з недовиконанням дохідної частини бюджету СМТГ та </w:t>
            </w:r>
            <w:r w:rsidRPr="005264F9">
              <w:rPr>
                <w:rFonts w:ascii="Times New Roman" w:hAnsi="Times New Roman" w:cs="Times New Roman"/>
                <w:lang w:val="uk-UA"/>
              </w:rPr>
              <w:t>введенням обмеження щодо здійснення видатків органами державного казначейства в умовах воєнного стану, зокрема капітальних (поста</w:t>
            </w:r>
            <w:r w:rsidR="00A44C1D">
              <w:rPr>
                <w:rFonts w:ascii="Times New Roman" w:hAnsi="Times New Roman" w:cs="Times New Roman"/>
                <w:lang w:val="uk-UA"/>
              </w:rPr>
              <w:t>нова КМУ від 9 червня 2021 р. № </w:t>
            </w:r>
            <w:r w:rsidRPr="005264F9">
              <w:rPr>
                <w:rFonts w:ascii="Times New Roman" w:hAnsi="Times New Roman" w:cs="Times New Roman"/>
                <w:lang w:val="uk-UA"/>
              </w:rPr>
              <w:t xml:space="preserve">590 «Про затвердження Порядку виконання повноважень Державною казначейською службою в особливому режимі в умовах воєнного стану» (зі змінами)), </w:t>
            </w:r>
            <w:r>
              <w:rPr>
                <w:rFonts w:ascii="Times New Roman" w:hAnsi="Times New Roman" w:cs="Times New Roman"/>
                <w:lang w:val="uk-UA"/>
              </w:rPr>
              <w:t>у 2022 році не було можливості виконувати роботи з облаштування пішохідних зон</w:t>
            </w:r>
            <w:r w:rsidRPr="005264F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</w:tr>
      <w:tr w:rsidR="00F5108C" w:rsidRPr="004C7A41" w14:paraId="0ACFC41C" w14:textId="77777777" w:rsidTr="0043524C">
        <w:trPr>
          <w:trHeight w:val="20"/>
        </w:trPr>
        <w:tc>
          <w:tcPr>
            <w:tcW w:w="229" w:type="pct"/>
            <w:shd w:val="clear" w:color="auto" w:fill="FFF2CC" w:themeFill="accent4" w:themeFillTint="33"/>
            <w:vAlign w:val="center"/>
          </w:tcPr>
          <w:p w14:paraId="652418FA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</w:t>
            </w:r>
          </w:p>
        </w:tc>
        <w:tc>
          <w:tcPr>
            <w:tcW w:w="1286" w:type="pct"/>
            <w:shd w:val="clear" w:color="auto" w:fill="FFF2CC" w:themeFill="accent4" w:themeFillTint="33"/>
          </w:tcPr>
          <w:p w14:paraId="15D6EB53" w14:textId="7777777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Поводження з відходами</w:t>
            </w:r>
          </w:p>
        </w:tc>
        <w:tc>
          <w:tcPr>
            <w:tcW w:w="276" w:type="pct"/>
            <w:shd w:val="clear" w:color="auto" w:fill="FFF2CC" w:themeFill="accent4" w:themeFillTint="33"/>
          </w:tcPr>
          <w:p w14:paraId="571D507C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</w:t>
            </w:r>
          </w:p>
        </w:tc>
        <w:tc>
          <w:tcPr>
            <w:tcW w:w="3209" w:type="pct"/>
            <w:shd w:val="clear" w:color="auto" w:fill="FFF2CC" w:themeFill="accent4" w:themeFillTint="33"/>
          </w:tcPr>
          <w:p w14:paraId="1AA57EE3" w14:textId="7777777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F5108C" w:rsidRPr="005264F9" w14:paraId="1E56DF61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5FA30E08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2.1.</w:t>
            </w:r>
          </w:p>
        </w:tc>
        <w:tc>
          <w:tcPr>
            <w:tcW w:w="1286" w:type="pct"/>
            <w:shd w:val="clear" w:color="auto" w:fill="auto"/>
          </w:tcPr>
          <w:p w14:paraId="0B8B7B69" w14:textId="7777777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Обладнання контейнерного майданчика для збору сміття за </w:t>
            </w:r>
            <w:proofErr w:type="spellStart"/>
            <w:r w:rsidRPr="004C7A4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адресою</w:t>
            </w:r>
            <w:proofErr w:type="spellEnd"/>
            <w:r w:rsidRPr="004C7A4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: м. Суми, вул. Петропавлівська, 81 у відповідності до вимог діючого законодавства, включаючи під’їзд до нього.</w:t>
            </w:r>
          </w:p>
        </w:tc>
        <w:tc>
          <w:tcPr>
            <w:tcW w:w="276" w:type="pct"/>
            <w:shd w:val="clear" w:color="auto" w:fill="auto"/>
          </w:tcPr>
          <w:p w14:paraId="7C5C8A65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2</w:t>
            </w:r>
          </w:p>
        </w:tc>
        <w:tc>
          <w:tcPr>
            <w:tcW w:w="3209" w:type="pct"/>
            <w:shd w:val="clear" w:color="auto" w:fill="auto"/>
          </w:tcPr>
          <w:p w14:paraId="7326C66F" w14:textId="04CEE2E1" w:rsidR="00F5108C" w:rsidRPr="00BD4C4F" w:rsidRDefault="00F5108C" w:rsidP="00C93337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D4C4F">
              <w:rPr>
                <w:sz w:val="22"/>
                <w:szCs w:val="22"/>
                <w:shd w:val="clear" w:color="auto" w:fill="FFFFFF"/>
                <w:lang w:val="uk-UA"/>
              </w:rPr>
              <w:t xml:space="preserve">У зв’язку з недовиконанням дохідної частини бюджету СМТГ та </w:t>
            </w:r>
            <w:r w:rsidRPr="00BD4C4F">
              <w:rPr>
                <w:sz w:val="22"/>
                <w:szCs w:val="22"/>
                <w:lang w:val="uk-UA"/>
              </w:rPr>
              <w:t>введенням обмеження щодо здійснення видатків органами державного казначейства в умовах воєнного стану, зокрема капітальних (поста</w:t>
            </w:r>
            <w:r w:rsidR="00A44C1D">
              <w:rPr>
                <w:sz w:val="22"/>
                <w:szCs w:val="22"/>
                <w:lang w:val="uk-UA"/>
              </w:rPr>
              <w:t>нова КМУ від 9 червня 2021 р. № </w:t>
            </w:r>
            <w:r w:rsidRPr="00BD4C4F">
              <w:rPr>
                <w:sz w:val="22"/>
                <w:szCs w:val="22"/>
                <w:lang w:val="uk-UA"/>
              </w:rPr>
              <w:t xml:space="preserve">590 «Про затвердження Порядку виконання повноважень Державною казначейською службою в особливому режимі в умовах воєнного стану» (зі змінами)), у 2022 році </w:t>
            </w:r>
            <w:r w:rsidR="00BD4C4F" w:rsidRPr="00BD4C4F">
              <w:rPr>
                <w:sz w:val="22"/>
                <w:szCs w:val="22"/>
                <w:lang w:val="uk-UA"/>
              </w:rPr>
              <w:t xml:space="preserve">не було можливості виконувати роботи з облаштування контейнерного майданчика по </w:t>
            </w:r>
            <w:r w:rsidR="005966A6">
              <w:rPr>
                <w:sz w:val="22"/>
                <w:szCs w:val="22"/>
                <w:lang w:val="uk-UA"/>
              </w:rPr>
              <w:t xml:space="preserve">                                                    </w:t>
            </w:r>
            <w:r w:rsidR="00BD4C4F" w:rsidRPr="00BD4C4F">
              <w:rPr>
                <w:bCs/>
                <w:color w:val="000000"/>
                <w:sz w:val="22"/>
                <w:szCs w:val="22"/>
                <w:lang w:val="uk-UA"/>
              </w:rPr>
              <w:t>вул. Петропавлівська, 81</w:t>
            </w:r>
            <w:r w:rsidR="00BD4C4F" w:rsidRPr="00BD4C4F">
              <w:rPr>
                <w:sz w:val="22"/>
                <w:szCs w:val="22"/>
                <w:lang w:val="uk-UA"/>
              </w:rPr>
              <w:t xml:space="preserve">, включаючи </w:t>
            </w:r>
            <w:r w:rsidR="00BD4C4F" w:rsidRPr="00BD4C4F">
              <w:rPr>
                <w:bCs/>
                <w:color w:val="000000"/>
                <w:sz w:val="22"/>
                <w:szCs w:val="22"/>
                <w:lang w:val="uk-UA"/>
              </w:rPr>
              <w:t>під’їзд до нього.</w:t>
            </w:r>
          </w:p>
        </w:tc>
      </w:tr>
      <w:tr w:rsidR="00F5108C" w:rsidRPr="004C7A41" w14:paraId="6BDD9A01" w14:textId="77777777" w:rsidTr="0043524C">
        <w:trPr>
          <w:trHeight w:val="20"/>
        </w:trPr>
        <w:tc>
          <w:tcPr>
            <w:tcW w:w="229" w:type="pct"/>
            <w:shd w:val="clear" w:color="auto" w:fill="FFF2CC" w:themeFill="accent4" w:themeFillTint="33"/>
            <w:vAlign w:val="center"/>
          </w:tcPr>
          <w:p w14:paraId="05C44BEE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3</w:t>
            </w:r>
          </w:p>
        </w:tc>
        <w:tc>
          <w:tcPr>
            <w:tcW w:w="1286" w:type="pct"/>
            <w:shd w:val="clear" w:color="auto" w:fill="FFF2CC" w:themeFill="accent4" w:themeFillTint="33"/>
          </w:tcPr>
          <w:p w14:paraId="76358339" w14:textId="77777777" w:rsidR="00F5108C" w:rsidRPr="004C7A41" w:rsidRDefault="00F5108C" w:rsidP="00C933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Благоустрій території  (вуличне освітлення)</w:t>
            </w:r>
          </w:p>
        </w:tc>
        <w:tc>
          <w:tcPr>
            <w:tcW w:w="276" w:type="pct"/>
            <w:shd w:val="clear" w:color="auto" w:fill="FFF2CC" w:themeFill="accent4" w:themeFillTint="33"/>
          </w:tcPr>
          <w:p w14:paraId="3153EF53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</w:t>
            </w:r>
          </w:p>
        </w:tc>
        <w:tc>
          <w:tcPr>
            <w:tcW w:w="3209" w:type="pct"/>
            <w:shd w:val="clear" w:color="auto" w:fill="FFF2CC" w:themeFill="accent4" w:themeFillTint="33"/>
          </w:tcPr>
          <w:p w14:paraId="7C110A1B" w14:textId="77777777" w:rsidR="00F5108C" w:rsidRPr="004C7A41" w:rsidRDefault="00F5108C" w:rsidP="00C933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F5108C" w:rsidRPr="00CE243E" w14:paraId="384A3B27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2F6A0935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</w:t>
            </w:r>
          </w:p>
        </w:tc>
        <w:tc>
          <w:tcPr>
            <w:tcW w:w="1286" w:type="pct"/>
          </w:tcPr>
          <w:p w14:paraId="63E84726" w14:textId="213A4C7D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Модернізувати системи освітлення міста, лампи замінити на ергономічні світильники LED, що в майбутньому вирішить одразу дві проблеми: скоротить витрати на електроенергію та зробить вулиці світлішими; необхідно звернути увагу на ліхтарні стовпи, які по місту стоять розбиті й в жахливому стані (зокрема й за будівлею міської ради по набережній).</w:t>
            </w:r>
          </w:p>
        </w:tc>
        <w:tc>
          <w:tcPr>
            <w:tcW w:w="276" w:type="pct"/>
            <w:shd w:val="clear" w:color="auto" w:fill="auto"/>
          </w:tcPr>
          <w:p w14:paraId="1B90641C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209" w:type="pct"/>
            <w:vMerge w:val="restart"/>
            <w:shd w:val="clear" w:color="auto" w:fill="auto"/>
          </w:tcPr>
          <w:p w14:paraId="085D8F3E" w14:textId="194A9F5A" w:rsidR="00F5108C" w:rsidRPr="00A668F9" w:rsidRDefault="00FB6238" w:rsidP="00C93337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4C4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У зв’язку з недовиконанням дохідної частини бюджету СМТГ та </w:t>
            </w:r>
            <w:r w:rsidRPr="00BD4C4F">
              <w:rPr>
                <w:rFonts w:ascii="Times New Roman" w:hAnsi="Times New Roman" w:cs="Times New Roman"/>
                <w:lang w:val="uk-UA"/>
              </w:rPr>
              <w:t>введенням обмеження щодо здійснення видатків органами державного казначейства в умовах воєнного стану, зокрема капітальних (поста</w:t>
            </w:r>
            <w:r w:rsidR="00A44C1D">
              <w:rPr>
                <w:rFonts w:ascii="Times New Roman" w:hAnsi="Times New Roman" w:cs="Times New Roman"/>
                <w:lang w:val="uk-UA"/>
              </w:rPr>
              <w:t>нова КМУ від 9 червня 2021 р. № </w:t>
            </w:r>
            <w:r w:rsidRPr="00BD4C4F">
              <w:rPr>
                <w:rFonts w:ascii="Times New Roman" w:hAnsi="Times New Roman" w:cs="Times New Roman"/>
                <w:lang w:val="uk-UA"/>
              </w:rPr>
              <w:t>590 «Про затвердження Порядку виконання повноважень Державною казначейською службою в особливому режимі в умовах воєнного стану» (зі змінами))</w:t>
            </w:r>
            <w:r w:rsidR="007F548B" w:rsidRPr="00BD4C4F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Pr="00A668F9">
              <w:rPr>
                <w:rFonts w:ascii="Times New Roman" w:hAnsi="Times New Roman" w:cs="Times New Roman"/>
                <w:lang w:val="uk-UA"/>
              </w:rPr>
              <w:t xml:space="preserve"> межах видатків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A668F9">
              <w:rPr>
                <w:rFonts w:ascii="Times New Roman" w:hAnsi="Times New Roman" w:cs="Times New Roman"/>
                <w:lang w:val="uk-UA"/>
              </w:rPr>
              <w:t xml:space="preserve"> передбачених в бюджеті Сумської міської територіальної громади на 2022 рік по статті «П</w:t>
            </w:r>
            <w:r w:rsidRPr="00A668F9">
              <w:rPr>
                <w:rFonts w:ascii="Times New Roman" w:eastAsia="Times New Roman" w:hAnsi="Times New Roman" w:cs="Times New Roman"/>
                <w:lang w:val="uk-UA" w:eastAsia="ru-RU"/>
              </w:rPr>
              <w:t>оточний ремонт та поточне утримання електромереж зовнішнього освітлення»,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5108C" w:rsidRPr="00A668F9">
              <w:rPr>
                <w:rFonts w:ascii="Times New Roman" w:hAnsi="Times New Roman" w:cs="Times New Roman"/>
                <w:lang w:val="uk-UA"/>
              </w:rPr>
              <w:t>виконувались лише роботи з першочергових потреб громади (протягом 2022 року КП ЕЗО «</w:t>
            </w:r>
            <w:proofErr w:type="spellStart"/>
            <w:r w:rsidR="00F5108C" w:rsidRPr="00A668F9">
              <w:rPr>
                <w:rFonts w:ascii="Times New Roman" w:hAnsi="Times New Roman" w:cs="Times New Roman"/>
                <w:lang w:val="uk-UA"/>
              </w:rPr>
              <w:t>Міськсвітло</w:t>
            </w:r>
            <w:proofErr w:type="spellEnd"/>
            <w:r w:rsidR="00F5108C" w:rsidRPr="00A668F9">
              <w:rPr>
                <w:rFonts w:ascii="Times New Roman" w:hAnsi="Times New Roman" w:cs="Times New Roman"/>
                <w:lang w:val="uk-UA"/>
              </w:rPr>
              <w:t>» Сумської міської ради було замінено 5 аварійних опор по вулицях міста Суми).</w:t>
            </w:r>
          </w:p>
          <w:p w14:paraId="4629676A" w14:textId="3066B9FA" w:rsidR="00F5108C" w:rsidRPr="00A668F9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668F9">
              <w:rPr>
                <w:rFonts w:ascii="Times New Roman" w:hAnsi="Times New Roman" w:cs="Times New Roman"/>
                <w:lang w:val="uk-UA"/>
              </w:rPr>
              <w:t>Після закінчення/скасування воєнного стану Департамент інфраструктури міста Сумської міської ради в межах фінансування планує продовжувати роботи в напрямку заміни світильників на LED –енергозберігаючі.</w:t>
            </w:r>
          </w:p>
        </w:tc>
      </w:tr>
      <w:tr w:rsidR="00F5108C" w:rsidRPr="00A63E78" w14:paraId="7F2DD56C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12CC17A5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3.2.</w:t>
            </w:r>
          </w:p>
        </w:tc>
        <w:tc>
          <w:tcPr>
            <w:tcW w:w="1286" w:type="pct"/>
          </w:tcPr>
          <w:p w14:paraId="3A888113" w14:textId="1B06E71F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вуличного світлодіодного освітлення в місті Суми (с</w:t>
            </w:r>
            <w:r w:rsidRPr="004C7A41">
              <w:rPr>
                <w:rFonts w:ascii="Times New Roman" w:hAnsi="Times New Roman" w:cs="Times New Roman"/>
                <w:lang w:val="uk-UA"/>
              </w:rPr>
              <w:t>тарі засоби освітлення давно потребують заміни майже по всьому місту; більшість автомобільних</w:t>
            </w: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доріг погано, або зовсім не освітлені; розглянути можливість поетапної заміни всіх ламп на LED)</w:t>
            </w:r>
          </w:p>
        </w:tc>
        <w:tc>
          <w:tcPr>
            <w:tcW w:w="276" w:type="pct"/>
            <w:shd w:val="clear" w:color="auto" w:fill="auto"/>
          </w:tcPr>
          <w:p w14:paraId="40F52F36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209" w:type="pct"/>
            <w:vMerge/>
            <w:shd w:val="clear" w:color="auto" w:fill="auto"/>
          </w:tcPr>
          <w:p w14:paraId="22759106" w14:textId="7A0FC63A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108C" w:rsidRPr="004C7A41" w14:paraId="62435771" w14:textId="77777777" w:rsidTr="0043524C">
        <w:trPr>
          <w:trHeight w:val="20"/>
        </w:trPr>
        <w:tc>
          <w:tcPr>
            <w:tcW w:w="229" w:type="pct"/>
            <w:shd w:val="clear" w:color="auto" w:fill="FFF2CC" w:themeFill="accent4" w:themeFillTint="33"/>
            <w:vAlign w:val="center"/>
          </w:tcPr>
          <w:p w14:paraId="1C61831A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lastRenderedPageBreak/>
              <w:t>4</w:t>
            </w:r>
          </w:p>
        </w:tc>
        <w:tc>
          <w:tcPr>
            <w:tcW w:w="1286" w:type="pct"/>
            <w:shd w:val="clear" w:color="auto" w:fill="FFF2CC" w:themeFill="accent4" w:themeFillTint="33"/>
          </w:tcPr>
          <w:p w14:paraId="3A8EDABC" w14:textId="37CAAFDB" w:rsidR="00F5108C" w:rsidRPr="004C7A41" w:rsidRDefault="00F5108C" w:rsidP="00C9333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Інші види робіт з благоустрою (облаштування громадських просторів)</w:t>
            </w:r>
          </w:p>
        </w:tc>
        <w:tc>
          <w:tcPr>
            <w:tcW w:w="276" w:type="pct"/>
            <w:shd w:val="clear" w:color="auto" w:fill="FFF2CC" w:themeFill="accent4" w:themeFillTint="33"/>
          </w:tcPr>
          <w:p w14:paraId="2324347D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</w:t>
            </w:r>
          </w:p>
        </w:tc>
        <w:tc>
          <w:tcPr>
            <w:tcW w:w="3209" w:type="pct"/>
            <w:shd w:val="clear" w:color="auto" w:fill="FFF2CC" w:themeFill="accent4" w:themeFillTint="33"/>
          </w:tcPr>
          <w:p w14:paraId="3EFE6AA3" w14:textId="77777777" w:rsidR="00F5108C" w:rsidRPr="004C7A41" w:rsidRDefault="00F5108C" w:rsidP="00C93337">
            <w:pPr>
              <w:pStyle w:val="1"/>
              <w:spacing w:line="276" w:lineRule="auto"/>
              <w:ind w:left="0" w:firstLine="202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F5108C" w:rsidRPr="004C7A41" w14:paraId="33A78559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4C7E824F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t>4.1.</w:t>
            </w:r>
          </w:p>
        </w:tc>
        <w:tc>
          <w:tcPr>
            <w:tcW w:w="1286" w:type="pct"/>
            <w:shd w:val="clear" w:color="auto" w:fill="FFFFFF" w:themeFill="background1"/>
          </w:tcPr>
          <w:p w14:paraId="1DB0C839" w14:textId="77777777" w:rsidR="00F5108C" w:rsidRPr="004C7A41" w:rsidRDefault="00F5108C" w:rsidP="00C93337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hAnsi="Times New Roman" w:cs="Times New Roman"/>
                <w:lang w:val="uk-UA"/>
              </w:rPr>
              <w:t xml:space="preserve">Закупити та розмістити три столи для гри у настільний теніс в парку </w:t>
            </w:r>
            <w:proofErr w:type="spellStart"/>
            <w:r w:rsidRPr="004C7A41">
              <w:rPr>
                <w:rFonts w:ascii="Times New Roman" w:hAnsi="Times New Roman" w:cs="Times New Roman"/>
                <w:lang w:val="uk-UA"/>
              </w:rPr>
              <w:t>Кожедуба</w:t>
            </w:r>
            <w:proofErr w:type="spellEnd"/>
            <w:r w:rsidRPr="004C7A41">
              <w:rPr>
                <w:rFonts w:ascii="Times New Roman" w:hAnsi="Times New Roman" w:cs="Times New Roman"/>
                <w:lang w:val="uk-UA"/>
              </w:rPr>
              <w:t xml:space="preserve"> на студентському пляжі біля спортивного майданчика</w:t>
            </w:r>
          </w:p>
        </w:tc>
        <w:tc>
          <w:tcPr>
            <w:tcW w:w="276" w:type="pct"/>
            <w:shd w:val="clear" w:color="auto" w:fill="FFFFFF" w:themeFill="background1"/>
          </w:tcPr>
          <w:p w14:paraId="276868BC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3209" w:type="pct"/>
            <w:vMerge w:val="restart"/>
            <w:shd w:val="clear" w:color="auto" w:fill="FFFFFF" w:themeFill="background1"/>
          </w:tcPr>
          <w:p w14:paraId="69FDBD6B" w14:textId="017BC04A" w:rsidR="00F5108C" w:rsidRPr="00A668F9" w:rsidRDefault="00F5108C" w:rsidP="00C93337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668F9">
              <w:rPr>
                <w:rFonts w:ascii="Times New Roman" w:hAnsi="Times New Roman" w:cs="Times New Roman"/>
                <w:lang w:val="uk-UA"/>
              </w:rPr>
              <w:t xml:space="preserve">В 2019 році на замовлення Департаменту інфраструктури міста Сумської міської ради виготовлено проектно-кошторисну документацію та проведено комплексну експертизу проекту будівництва по об’єкту «Будівництво міського пляжу в парку ім. І.М. </w:t>
            </w:r>
            <w:proofErr w:type="spellStart"/>
            <w:r w:rsidRPr="00A668F9">
              <w:rPr>
                <w:rFonts w:ascii="Times New Roman" w:hAnsi="Times New Roman" w:cs="Times New Roman"/>
                <w:lang w:val="uk-UA"/>
              </w:rPr>
              <w:t>Кожедуба</w:t>
            </w:r>
            <w:proofErr w:type="spellEnd"/>
            <w:r w:rsidRPr="00A668F9">
              <w:rPr>
                <w:rFonts w:ascii="Times New Roman" w:hAnsi="Times New Roman" w:cs="Times New Roman"/>
                <w:lang w:val="uk-UA"/>
              </w:rPr>
              <w:t xml:space="preserve"> м. Суми». Слід зазначити, що роботи по встановленню столів для гри у настільний теніс та обладнання майданчика для гри у бадмінтон на Міському пляжі в парку ім. І.М. </w:t>
            </w:r>
            <w:proofErr w:type="spellStart"/>
            <w:r w:rsidRPr="00A668F9">
              <w:rPr>
                <w:rFonts w:ascii="Times New Roman" w:hAnsi="Times New Roman" w:cs="Times New Roman"/>
                <w:lang w:val="uk-UA"/>
              </w:rPr>
              <w:t>Кожедуба</w:t>
            </w:r>
            <w:proofErr w:type="spellEnd"/>
            <w:r w:rsidRPr="00A668F9">
              <w:rPr>
                <w:rFonts w:ascii="Times New Roman" w:hAnsi="Times New Roman" w:cs="Times New Roman"/>
                <w:lang w:val="uk-UA"/>
              </w:rPr>
              <w:t xml:space="preserve"> проєктом не були передбачені.</w:t>
            </w:r>
          </w:p>
          <w:p w14:paraId="1CD76631" w14:textId="6349BF0A" w:rsidR="00F5108C" w:rsidRPr="00A668F9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A668F9">
              <w:rPr>
                <w:rFonts w:ascii="Times New Roman" w:hAnsi="Times New Roman" w:cs="Times New Roman"/>
                <w:lang w:val="uk-UA"/>
              </w:rPr>
              <w:t xml:space="preserve">В бюджеті СМТГ на 2022 рік по головному розпоряднику бюджетних коштів - Департаменту інфраструктури міста Сумської міської ради не були передбачені видатки на придбання та розміщення трьох столів для гри у настільний теніс та обладнання майданчика для гри у бадмінтон на Міському пляжі в парку ім. І.М. </w:t>
            </w:r>
            <w:proofErr w:type="spellStart"/>
            <w:r w:rsidRPr="00A668F9">
              <w:rPr>
                <w:rFonts w:ascii="Times New Roman" w:hAnsi="Times New Roman" w:cs="Times New Roman"/>
                <w:lang w:val="uk-UA"/>
              </w:rPr>
              <w:t>Кожедуба</w:t>
            </w:r>
            <w:proofErr w:type="spellEnd"/>
            <w:r w:rsidRPr="00A668F9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F5108C" w:rsidRPr="004C7A41" w14:paraId="08418898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254711D0" w14:textId="3F03E8EE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t>4.2.</w:t>
            </w:r>
          </w:p>
        </w:tc>
        <w:tc>
          <w:tcPr>
            <w:tcW w:w="1286" w:type="pct"/>
            <w:shd w:val="clear" w:color="auto" w:fill="FFFFFF" w:themeFill="background1"/>
          </w:tcPr>
          <w:p w14:paraId="32833028" w14:textId="203E1C08" w:rsidR="00F5108C" w:rsidRPr="004C7A41" w:rsidRDefault="00F5108C" w:rsidP="00C93337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Обладнати існуючий майданчик для гри у бадмінтон на </w:t>
            </w:r>
            <w:r w:rsidRPr="004C7A41">
              <w:rPr>
                <w:rFonts w:ascii="Times New Roman" w:hAnsi="Times New Roman" w:cs="Times New Roman"/>
                <w:lang w:val="uk-UA"/>
              </w:rPr>
              <w:t>студентському</w:t>
            </w: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пляжі (закупити та встановити сітку та нанести розмітку)</w:t>
            </w:r>
          </w:p>
        </w:tc>
        <w:tc>
          <w:tcPr>
            <w:tcW w:w="276" w:type="pct"/>
            <w:shd w:val="clear" w:color="auto" w:fill="FFFFFF" w:themeFill="background1"/>
          </w:tcPr>
          <w:p w14:paraId="6DDB2EF8" w14:textId="12061A70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3209" w:type="pct"/>
            <w:vMerge/>
            <w:shd w:val="clear" w:color="auto" w:fill="FFFFFF" w:themeFill="background1"/>
          </w:tcPr>
          <w:p w14:paraId="0CA5C207" w14:textId="77777777" w:rsidR="00F5108C" w:rsidRPr="004C7A41" w:rsidRDefault="00F5108C" w:rsidP="00C93337">
            <w:pPr>
              <w:pStyle w:val="1"/>
              <w:spacing w:line="276" w:lineRule="auto"/>
              <w:ind w:left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F5108C" w:rsidRPr="004C7A41" w14:paraId="4A8770DD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3CB3873E" w14:textId="075D36AA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t>4.3.</w:t>
            </w:r>
          </w:p>
        </w:tc>
        <w:tc>
          <w:tcPr>
            <w:tcW w:w="1286" w:type="pct"/>
            <w:shd w:val="clear" w:color="auto" w:fill="FFFFFF" w:themeFill="background1"/>
          </w:tcPr>
          <w:p w14:paraId="1B7C10CA" w14:textId="026FD22B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Обладнання безкоштовної ковзанки для катання на ковзанах в парку </w:t>
            </w:r>
            <w:proofErr w:type="spellStart"/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Кожедуба</w:t>
            </w:r>
            <w:proofErr w:type="spellEnd"/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біля літнього театру</w:t>
            </w:r>
          </w:p>
        </w:tc>
        <w:tc>
          <w:tcPr>
            <w:tcW w:w="276" w:type="pct"/>
            <w:shd w:val="clear" w:color="auto" w:fill="FFFFFF" w:themeFill="background1"/>
          </w:tcPr>
          <w:p w14:paraId="78E639AA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3209" w:type="pct"/>
            <w:shd w:val="clear" w:color="auto" w:fill="FFFFFF" w:themeFill="background1"/>
          </w:tcPr>
          <w:p w14:paraId="266DF0E5" w14:textId="61E3759E" w:rsidR="00F5108C" w:rsidRPr="00A668F9" w:rsidRDefault="00F5108C" w:rsidP="00C93337">
            <w:pPr>
              <w:pStyle w:val="1"/>
              <w:spacing w:line="276" w:lineRule="auto"/>
              <w:ind w:left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</w:pPr>
            <w:r w:rsidRPr="00A668F9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 xml:space="preserve">В парку ім. І. М. </w:t>
            </w:r>
            <w:proofErr w:type="spellStart"/>
            <w:r w:rsidRPr="00A668F9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>Кожедуба</w:t>
            </w:r>
            <w:proofErr w:type="spellEnd"/>
            <w:r w:rsidRPr="00A668F9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 xml:space="preserve"> ковзанка, як елемент благоустрою, не передбачена. Створення ковзанки відноситься до робіт капітального характеру, яке включає в себе також виготовлення проектно-кошторисної документації, та потребує значних фінансових вкладень.</w:t>
            </w:r>
          </w:p>
          <w:p w14:paraId="4F88819B" w14:textId="284C6C26" w:rsidR="00F5108C" w:rsidRPr="00A668F9" w:rsidRDefault="00F5108C" w:rsidP="00C93337">
            <w:pPr>
              <w:pStyle w:val="1"/>
              <w:spacing w:line="276" w:lineRule="auto"/>
              <w:ind w:left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</w:pPr>
            <w:r w:rsidRPr="00A668F9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 xml:space="preserve">В бюджеті СМТГ на 2022 рік по головному розпоряднику бюджетних коштів - Департаменту інфраструктури міста Сумської міської ради не були передбачені видатки на обладнання ковзанки для катання в парку ім. І.М. </w:t>
            </w:r>
            <w:proofErr w:type="spellStart"/>
            <w:r w:rsidRPr="00A668F9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>Кожедуба</w:t>
            </w:r>
            <w:proofErr w:type="spellEnd"/>
            <w:r w:rsidRPr="00A668F9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 xml:space="preserve"> біля літнього театру.</w:t>
            </w:r>
          </w:p>
        </w:tc>
      </w:tr>
      <w:tr w:rsidR="00F5108C" w:rsidRPr="00CE243E" w14:paraId="7C860F9F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083CD5A5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t>4.4.</w:t>
            </w:r>
          </w:p>
        </w:tc>
        <w:tc>
          <w:tcPr>
            <w:tcW w:w="1286" w:type="pct"/>
            <w:shd w:val="clear" w:color="auto" w:fill="FFFFFF" w:themeFill="background1"/>
          </w:tcPr>
          <w:p w14:paraId="0B5A7C44" w14:textId="5FBFCD7C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Створити сучасний громадський простір уздовж набережної смуги ріки Псел між мостами вулиць Харківська та Героїв Крут. Місто Суми, володіючи таким багатим водним ресурсом, як рі</w:t>
            </w:r>
            <w:r w:rsidR="00A1763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ч</w:t>
            </w: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ки Псел, Стрілка та Сумка, які знаходяться в самому центрі, майже не використовуються як громадський простір. Хоча саме водойми із зеленими зонами є найбільш привабливими зонами відпочинку для людей. Лише невелика частина набережної ріки Псел біля ресторану «</w:t>
            </w:r>
            <w:proofErr w:type="spellStart"/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Здибанка</w:t>
            </w:r>
            <w:proofErr w:type="spellEnd"/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» має благоустрій і є однією з найкомфортніших зон для прогулянок та проводження часу в теплу погоду. Так </w:t>
            </w: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чому б не зробити такий самий благоустрій уздовж усього берегу ріки, починаючи від Харківського моста і закінчуючи вже збудованим сквером на Героїв Крут? Існують реалізовані проекти в інших містах, коли в занедбаних прибережних зонах прибрали хащі, посадили газон, зробили тротуар, встановили зручні лави з освітленням і таким чином стали улюбленими зонами притягання для мешканців.</w:t>
            </w:r>
          </w:p>
        </w:tc>
        <w:tc>
          <w:tcPr>
            <w:tcW w:w="276" w:type="pct"/>
            <w:shd w:val="clear" w:color="auto" w:fill="FFFFFF" w:themeFill="background1"/>
          </w:tcPr>
          <w:p w14:paraId="15F04E13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1</w:t>
            </w:r>
          </w:p>
        </w:tc>
        <w:tc>
          <w:tcPr>
            <w:tcW w:w="3209" w:type="pct"/>
            <w:shd w:val="clear" w:color="auto" w:fill="FFFFFF" w:themeFill="background1"/>
          </w:tcPr>
          <w:p w14:paraId="3BCD7522" w14:textId="0F3B6BC4" w:rsidR="00F5108C" w:rsidRPr="00A668F9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668F9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Роботи по облаштуванню території вздовж набережної смуги ріки Псел між мостами вулиць Харківська та Героїв Крут належать до робіт з реконструкції та потребують значних фінансових вкладень.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В б</w:t>
            </w:r>
            <w:r w:rsidRPr="00A668F9">
              <w:rPr>
                <w:rFonts w:ascii="Times New Roman" w:eastAsia="Times New Roman" w:hAnsi="Times New Roman" w:cs="Times New Roman"/>
                <w:lang w:val="uk-UA"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A668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СМТГ</w:t>
            </w:r>
            <w:r w:rsidRPr="00A668F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A668F9">
              <w:rPr>
                <w:rFonts w:ascii="Times New Roman" w:eastAsia="Times New Roman" w:hAnsi="Times New Roman" w:cs="Times New Roman"/>
                <w:lang w:val="uk-UA" w:eastAsia="ru-RU"/>
              </w:rPr>
              <w:t>на 2022 рік по головному розпоряднику бюджетних коштів - Департаменту інфраструктури міста Сумської міської ради,</w:t>
            </w:r>
            <w:r w:rsidRPr="00A668F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не були передбачені видатки на виконання робіт по даному об’єкту. </w:t>
            </w:r>
            <w:r w:rsidRPr="00A668F9">
              <w:rPr>
                <w:rFonts w:ascii="Times New Roman" w:hAnsi="Times New Roman" w:cs="Times New Roman"/>
                <w:color w:val="000000"/>
                <w:lang w:val="uk-UA"/>
              </w:rPr>
              <w:t xml:space="preserve">Департаментом був підготовлений проєкт рішення Виконавчого комітету Сумської міської ради «Про розгляд електронної петиції </w:t>
            </w:r>
            <w:proofErr w:type="spellStart"/>
            <w:r w:rsidRPr="00A668F9">
              <w:rPr>
                <w:rFonts w:ascii="Times New Roman" w:hAnsi="Times New Roman" w:cs="Times New Roman"/>
                <w:color w:val="000000"/>
                <w:lang w:val="uk-UA"/>
              </w:rPr>
              <w:t>Каранди</w:t>
            </w:r>
            <w:proofErr w:type="spellEnd"/>
            <w:r w:rsidRPr="00A668F9">
              <w:rPr>
                <w:rFonts w:ascii="Times New Roman" w:hAnsi="Times New Roman" w:cs="Times New Roman"/>
                <w:color w:val="000000"/>
                <w:lang w:val="uk-UA"/>
              </w:rPr>
              <w:t xml:space="preserve"> Я.П. «Створити сучасний громадський простір уздовж набережної смуги ріки Псел між мостами ву</w:t>
            </w:r>
            <w:r w:rsidR="00CE243E">
              <w:rPr>
                <w:rFonts w:ascii="Times New Roman" w:hAnsi="Times New Roman" w:cs="Times New Roman"/>
                <w:color w:val="000000"/>
                <w:lang w:val="uk-UA"/>
              </w:rPr>
              <w:t xml:space="preserve">лиць Харківська та Героїв Крут», який не було </w:t>
            </w:r>
            <w:proofErr w:type="spellStart"/>
            <w:r w:rsidR="00037F4D">
              <w:rPr>
                <w:rFonts w:ascii="Times New Roman" w:hAnsi="Times New Roman" w:cs="Times New Roman"/>
                <w:color w:val="000000"/>
                <w:lang w:val="uk-UA"/>
              </w:rPr>
              <w:t>внесено</w:t>
            </w:r>
            <w:proofErr w:type="spellEnd"/>
            <w:r w:rsidR="00037F4D">
              <w:rPr>
                <w:rFonts w:ascii="Times New Roman" w:hAnsi="Times New Roman" w:cs="Times New Roman"/>
                <w:color w:val="000000"/>
                <w:lang w:val="uk-UA"/>
              </w:rPr>
              <w:t xml:space="preserve"> на </w:t>
            </w:r>
            <w:r w:rsidR="00CE243E">
              <w:rPr>
                <w:rFonts w:ascii="Times New Roman" w:hAnsi="Times New Roman" w:cs="Times New Roman"/>
                <w:color w:val="000000"/>
                <w:lang w:val="uk-UA"/>
              </w:rPr>
              <w:t>розгля</w:t>
            </w:r>
            <w:r w:rsidR="00037F4D">
              <w:rPr>
                <w:rFonts w:ascii="Times New Roman" w:hAnsi="Times New Roman" w:cs="Times New Roman"/>
                <w:color w:val="000000"/>
                <w:lang w:val="uk-UA"/>
              </w:rPr>
              <w:t>д</w:t>
            </w:r>
            <w:r w:rsidR="00BB2517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засідання</w:t>
            </w:r>
            <w:r w:rsidR="00CE243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CE243E" w:rsidRPr="00A668F9">
              <w:rPr>
                <w:rFonts w:ascii="Times New Roman" w:hAnsi="Times New Roman" w:cs="Times New Roman"/>
                <w:color w:val="000000"/>
                <w:lang w:val="uk-UA"/>
              </w:rPr>
              <w:t>Виконавч</w:t>
            </w:r>
            <w:r w:rsidR="00BB2517">
              <w:rPr>
                <w:rFonts w:ascii="Times New Roman" w:hAnsi="Times New Roman" w:cs="Times New Roman"/>
                <w:color w:val="000000"/>
                <w:lang w:val="uk-UA"/>
              </w:rPr>
              <w:t>ого</w:t>
            </w:r>
            <w:r w:rsidR="00CE243E" w:rsidRPr="00A668F9">
              <w:rPr>
                <w:rFonts w:ascii="Times New Roman" w:hAnsi="Times New Roman" w:cs="Times New Roman"/>
                <w:color w:val="000000"/>
                <w:lang w:val="uk-UA"/>
              </w:rPr>
              <w:t xml:space="preserve"> комітет</w:t>
            </w:r>
            <w:r w:rsidR="00BB2517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="00CE243E" w:rsidRPr="00A668F9">
              <w:rPr>
                <w:rFonts w:ascii="Times New Roman" w:hAnsi="Times New Roman" w:cs="Times New Roman"/>
                <w:color w:val="000000"/>
                <w:lang w:val="uk-UA"/>
              </w:rPr>
              <w:t xml:space="preserve"> Сумської міської ради</w:t>
            </w:r>
            <w:r w:rsidR="00CE243E" w:rsidRPr="00A668F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CE243E">
              <w:rPr>
                <w:rFonts w:ascii="Times New Roman" w:hAnsi="Times New Roman" w:cs="Times New Roman"/>
                <w:color w:val="000000"/>
                <w:lang w:val="uk-UA"/>
              </w:rPr>
              <w:t xml:space="preserve">у зв’язку з введенням </w:t>
            </w:r>
            <w:r w:rsidRPr="00A668F9">
              <w:rPr>
                <w:rFonts w:ascii="Times New Roman" w:hAnsi="Times New Roman" w:cs="Times New Roman"/>
                <w:color w:val="000000"/>
                <w:lang w:val="uk-UA"/>
              </w:rPr>
              <w:t>воєнного стану в Україні</w:t>
            </w:r>
            <w:r w:rsidRPr="00A668F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  <w:p w14:paraId="5B29C3AD" w14:textId="6C449EE2" w:rsidR="00F5108C" w:rsidRPr="00A668F9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14:paraId="1F90388B" w14:textId="77777777" w:rsidR="00F5108C" w:rsidRPr="00A668F9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14:paraId="3EEFDA70" w14:textId="77777777" w:rsidR="00F5108C" w:rsidRPr="00A668F9" w:rsidRDefault="00F5108C" w:rsidP="00C93337">
            <w:pPr>
              <w:pStyle w:val="1"/>
              <w:spacing w:line="276" w:lineRule="auto"/>
              <w:ind w:left="0"/>
              <w:jc w:val="both"/>
              <w:rPr>
                <w:rFonts w:eastAsia="Times New Roman"/>
                <w:b/>
                <w:bCs/>
                <w:sz w:val="22"/>
                <w:szCs w:val="22"/>
                <w:lang w:val="uk-UA"/>
              </w:rPr>
            </w:pPr>
          </w:p>
        </w:tc>
      </w:tr>
      <w:tr w:rsidR="00F5108C" w:rsidRPr="004C7A41" w14:paraId="77FC8AE2" w14:textId="77777777" w:rsidTr="00FD0618">
        <w:trPr>
          <w:trHeight w:val="20"/>
        </w:trPr>
        <w:tc>
          <w:tcPr>
            <w:tcW w:w="5000" w:type="pct"/>
            <w:gridSpan w:val="4"/>
            <w:shd w:val="clear" w:color="auto" w:fill="FFD966" w:themeFill="accent4" w:themeFillTint="99"/>
          </w:tcPr>
          <w:p w14:paraId="24BCBF1D" w14:textId="302739B5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F5108C" w:rsidRPr="004C7A41" w14:paraId="45C41AD9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7F14030D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286" w:type="pct"/>
            <w:shd w:val="clear" w:color="auto" w:fill="FFFFFF" w:themeFill="background1"/>
          </w:tcPr>
          <w:p w14:paraId="0ABB824C" w14:textId="47CC4985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Всього питань</w:t>
            </w:r>
          </w:p>
        </w:tc>
        <w:tc>
          <w:tcPr>
            <w:tcW w:w="276" w:type="pct"/>
            <w:shd w:val="clear" w:color="auto" w:fill="FFFFFF" w:themeFill="background1"/>
          </w:tcPr>
          <w:p w14:paraId="610303F0" w14:textId="032D60F1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4</w:t>
            </w:r>
          </w:p>
        </w:tc>
        <w:tc>
          <w:tcPr>
            <w:tcW w:w="3209" w:type="pct"/>
            <w:shd w:val="clear" w:color="auto" w:fill="FFFFFF" w:themeFill="background1"/>
          </w:tcPr>
          <w:p w14:paraId="4BBAF776" w14:textId="77777777" w:rsidR="00F5108C" w:rsidRPr="004C7A41" w:rsidRDefault="00F5108C" w:rsidP="00C93337">
            <w:pPr>
              <w:pStyle w:val="1"/>
              <w:spacing w:line="276" w:lineRule="auto"/>
              <w:ind w:left="0" w:firstLine="202"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F5108C" w:rsidRPr="004C7A41" w14:paraId="5D7498BB" w14:textId="77777777" w:rsidTr="0043524C">
        <w:trPr>
          <w:trHeight w:val="20"/>
        </w:trPr>
        <w:tc>
          <w:tcPr>
            <w:tcW w:w="229" w:type="pct"/>
            <w:shd w:val="clear" w:color="auto" w:fill="FFF2CC" w:themeFill="accent4" w:themeFillTint="33"/>
            <w:vAlign w:val="center"/>
          </w:tcPr>
          <w:p w14:paraId="0F46C583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</w:t>
            </w:r>
          </w:p>
        </w:tc>
        <w:tc>
          <w:tcPr>
            <w:tcW w:w="1286" w:type="pct"/>
            <w:shd w:val="clear" w:color="auto" w:fill="FFF2CC" w:themeFill="accent4" w:themeFillTint="33"/>
          </w:tcPr>
          <w:p w14:paraId="17EF00C0" w14:textId="7777777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Благоустрій території </w:t>
            </w:r>
          </w:p>
          <w:p w14:paraId="46FC8537" w14:textId="228675F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(капітальний ремонт доріг, в </w:t>
            </w:r>
            <w:proofErr w:type="spellStart"/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т.ч</w:t>
            </w:r>
            <w:proofErr w:type="spellEnd"/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. внутрішньо-квартальних/ прибудинкових доріг) </w:t>
            </w:r>
          </w:p>
        </w:tc>
        <w:tc>
          <w:tcPr>
            <w:tcW w:w="276" w:type="pct"/>
            <w:shd w:val="clear" w:color="auto" w:fill="FFF2CC" w:themeFill="accent4" w:themeFillTint="33"/>
          </w:tcPr>
          <w:p w14:paraId="77D7BBEA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</w:t>
            </w:r>
          </w:p>
        </w:tc>
        <w:tc>
          <w:tcPr>
            <w:tcW w:w="3209" w:type="pct"/>
            <w:shd w:val="clear" w:color="auto" w:fill="FFF2CC" w:themeFill="accent4" w:themeFillTint="33"/>
          </w:tcPr>
          <w:p w14:paraId="2A510A2D" w14:textId="77777777" w:rsidR="00F5108C" w:rsidRPr="004C7A41" w:rsidRDefault="00F5108C" w:rsidP="00C93337">
            <w:pPr>
              <w:pStyle w:val="1"/>
              <w:spacing w:line="276" w:lineRule="auto"/>
              <w:ind w:left="0" w:firstLine="202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F5108C" w:rsidRPr="00935F3D" w14:paraId="3E1FF297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5D1417A0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</w:t>
            </w:r>
          </w:p>
        </w:tc>
        <w:tc>
          <w:tcPr>
            <w:tcW w:w="1286" w:type="pct"/>
            <w:shd w:val="clear" w:color="auto" w:fill="FFFFFF" w:themeFill="background1"/>
          </w:tcPr>
          <w:p w14:paraId="42C3BB0E" w14:textId="7777777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Ремонт прибудинкової території будинку по вулиці Петропавлівська, 81</w:t>
            </w:r>
          </w:p>
          <w:p w14:paraId="17E64EB8" w14:textId="14FCD6A9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276" w:type="pct"/>
            <w:shd w:val="clear" w:color="auto" w:fill="FFFFFF" w:themeFill="background1"/>
          </w:tcPr>
          <w:p w14:paraId="7475DA32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3209" w:type="pct"/>
            <w:vMerge w:val="restart"/>
            <w:shd w:val="clear" w:color="auto" w:fill="FFFFFF" w:themeFill="background1"/>
          </w:tcPr>
          <w:p w14:paraId="79283EA9" w14:textId="04047429" w:rsidR="00F5108C" w:rsidRPr="005346D8" w:rsidRDefault="00F5108C" w:rsidP="00935F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5346D8">
              <w:rPr>
                <w:rFonts w:ascii="Times New Roman" w:hAnsi="Times New Roman" w:cs="Times New Roman"/>
                <w:lang w:val="uk-UA"/>
              </w:rPr>
              <w:t xml:space="preserve">У 2022 році управління </w:t>
            </w:r>
            <w:r w:rsidR="00C51EBE">
              <w:rPr>
                <w:rFonts w:ascii="Times New Roman" w:hAnsi="Times New Roman" w:cs="Times New Roman"/>
                <w:lang w:val="uk-UA"/>
              </w:rPr>
              <w:t xml:space="preserve">було </w:t>
            </w:r>
            <w:r>
              <w:rPr>
                <w:rFonts w:ascii="Times New Roman" w:hAnsi="Times New Roman" w:cs="Times New Roman"/>
                <w:lang w:val="uk-UA"/>
              </w:rPr>
              <w:t xml:space="preserve">обмежене у </w:t>
            </w:r>
            <w:r w:rsidRPr="005346D8">
              <w:rPr>
                <w:rFonts w:ascii="Times New Roman" w:hAnsi="Times New Roman" w:cs="Times New Roman"/>
                <w:lang w:val="uk-UA"/>
              </w:rPr>
              <w:t>викон</w:t>
            </w:r>
            <w:r>
              <w:rPr>
                <w:rFonts w:ascii="Times New Roman" w:hAnsi="Times New Roman" w:cs="Times New Roman"/>
                <w:lang w:val="uk-UA"/>
              </w:rPr>
              <w:t>анні</w:t>
            </w:r>
            <w:r w:rsidRPr="005346D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робіт з </w:t>
            </w:r>
            <w:r w:rsidRPr="005346D8">
              <w:rPr>
                <w:rFonts w:ascii="Times New Roman" w:hAnsi="Times New Roman" w:cs="Times New Roman"/>
                <w:lang w:val="uk-UA"/>
              </w:rPr>
              <w:t>капітальн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5346D8">
              <w:rPr>
                <w:rFonts w:ascii="Times New Roman" w:hAnsi="Times New Roman" w:cs="Times New Roman"/>
                <w:lang w:val="uk-UA"/>
              </w:rPr>
              <w:t xml:space="preserve"> ремонт</w:t>
            </w:r>
            <w:r>
              <w:rPr>
                <w:rFonts w:ascii="Times New Roman" w:hAnsi="Times New Roman" w:cs="Times New Roman"/>
                <w:lang w:val="uk-UA"/>
              </w:rPr>
              <w:t>у по</w:t>
            </w:r>
            <w:r w:rsidRPr="005346D8">
              <w:rPr>
                <w:rFonts w:ascii="Times New Roman" w:hAnsi="Times New Roman" w:cs="Times New Roman"/>
                <w:lang w:val="uk-UA"/>
              </w:rPr>
              <w:t xml:space="preserve"> згаданих об’єкт</w:t>
            </w:r>
            <w:r>
              <w:rPr>
                <w:rFonts w:ascii="Times New Roman" w:hAnsi="Times New Roman" w:cs="Times New Roman"/>
                <w:lang w:val="uk-UA"/>
              </w:rPr>
              <w:t>ах</w:t>
            </w:r>
            <w:r w:rsidRPr="005346D8">
              <w:rPr>
                <w:rFonts w:ascii="Times New Roman" w:hAnsi="Times New Roman" w:cs="Times New Roman"/>
                <w:lang w:val="uk-UA"/>
              </w:rPr>
              <w:t xml:space="preserve"> у зв’язку з прийняттям Закону України «Про затвердження Указу Президента України «Про введення воєнного стану в Україні» від 24.02.2022 №</w:t>
            </w:r>
            <w:r w:rsidR="00A44C1D">
              <w:rPr>
                <w:rFonts w:ascii="Times New Roman" w:hAnsi="Times New Roman" w:cs="Times New Roman"/>
                <w:lang w:val="uk-UA"/>
              </w:rPr>
              <w:t> </w:t>
            </w:r>
            <w:r w:rsidRPr="005346D8">
              <w:rPr>
                <w:rFonts w:ascii="Times New Roman" w:hAnsi="Times New Roman" w:cs="Times New Roman"/>
                <w:lang w:val="uk-UA"/>
              </w:rPr>
              <w:t xml:space="preserve">2102-ІХ (із змінами), оскільки видатки не </w:t>
            </w:r>
            <w:r w:rsidRPr="005346D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відносяться до переліку пріоритетних видатків, відповідно до вимог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9 червня 2021 р</w:t>
            </w:r>
            <w:r w:rsidR="00935F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  <w:r w:rsidRPr="005346D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№</w:t>
            </w:r>
            <w:r w:rsidR="00A44C1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 </w:t>
            </w:r>
            <w:r w:rsidRPr="005346D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590 (зі змінами).</w:t>
            </w:r>
          </w:p>
        </w:tc>
      </w:tr>
      <w:tr w:rsidR="00F5108C" w:rsidRPr="00935F3D" w14:paraId="739321BA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6AAA7075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t>1.2.</w:t>
            </w:r>
          </w:p>
        </w:tc>
        <w:tc>
          <w:tcPr>
            <w:tcW w:w="1286" w:type="pct"/>
            <w:shd w:val="clear" w:color="auto" w:fill="FFFFFF" w:themeFill="background1"/>
          </w:tcPr>
          <w:p w14:paraId="129D4ACF" w14:textId="1BC7928F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t>Ремонт території по вулиці Харківська між будинками 5, 3/2, 3/1 та 1-1</w:t>
            </w:r>
          </w:p>
          <w:p w14:paraId="374BA085" w14:textId="7777777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</w:p>
          <w:p w14:paraId="6B59E66E" w14:textId="7777777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6" w:type="pct"/>
            <w:shd w:val="clear" w:color="auto" w:fill="FFFFFF" w:themeFill="background1"/>
          </w:tcPr>
          <w:p w14:paraId="1555D8DF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209" w:type="pct"/>
            <w:vMerge/>
            <w:shd w:val="clear" w:color="auto" w:fill="FFFFFF" w:themeFill="background1"/>
          </w:tcPr>
          <w:p w14:paraId="29A7F948" w14:textId="4B62D3AA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108C" w:rsidRPr="004C7A41" w14:paraId="036076CD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6E81E34A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t>1.3.</w:t>
            </w:r>
          </w:p>
        </w:tc>
        <w:tc>
          <w:tcPr>
            <w:tcW w:w="1286" w:type="pct"/>
            <w:shd w:val="clear" w:color="auto" w:fill="FFFFFF" w:themeFill="background1"/>
          </w:tcPr>
          <w:p w14:paraId="193B934A" w14:textId="7777777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t>Капітальний ремонт прибудинкової території в районі житлових будинків №31, 33, 35 по вул. Ковпака, м. Суми</w:t>
            </w:r>
          </w:p>
          <w:p w14:paraId="579BEB2C" w14:textId="69EBE19F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6" w:type="pct"/>
            <w:shd w:val="clear" w:color="auto" w:fill="FFFFFF" w:themeFill="background1"/>
          </w:tcPr>
          <w:p w14:paraId="111AA73D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209" w:type="pct"/>
            <w:vMerge/>
            <w:shd w:val="clear" w:color="auto" w:fill="FFFFFF" w:themeFill="background1"/>
          </w:tcPr>
          <w:p w14:paraId="5805F031" w14:textId="295F0C48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5108C" w:rsidRPr="004C7A41" w14:paraId="2734A0C3" w14:textId="77777777" w:rsidTr="0043524C">
        <w:trPr>
          <w:trHeight w:val="20"/>
        </w:trPr>
        <w:tc>
          <w:tcPr>
            <w:tcW w:w="229" w:type="pct"/>
            <w:shd w:val="clear" w:color="auto" w:fill="FFF2CC" w:themeFill="accent4" w:themeFillTint="33"/>
            <w:vAlign w:val="center"/>
          </w:tcPr>
          <w:p w14:paraId="26BA460E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</w:t>
            </w:r>
          </w:p>
        </w:tc>
        <w:tc>
          <w:tcPr>
            <w:tcW w:w="1286" w:type="pct"/>
            <w:shd w:val="clear" w:color="auto" w:fill="FFF2CC" w:themeFill="accent4" w:themeFillTint="33"/>
          </w:tcPr>
          <w:p w14:paraId="4D5F3ACD" w14:textId="7777777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Будівництво, реконструкція, капітальний ремонт освітніх установ та закладів</w:t>
            </w:r>
          </w:p>
        </w:tc>
        <w:tc>
          <w:tcPr>
            <w:tcW w:w="276" w:type="pct"/>
            <w:shd w:val="clear" w:color="auto" w:fill="FFF2CC" w:themeFill="accent4" w:themeFillTint="33"/>
          </w:tcPr>
          <w:p w14:paraId="478547D6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3209" w:type="pct"/>
            <w:shd w:val="clear" w:color="auto" w:fill="FFF2CC" w:themeFill="accent4" w:themeFillTint="33"/>
          </w:tcPr>
          <w:p w14:paraId="5F21A8F1" w14:textId="77777777" w:rsidR="00F5108C" w:rsidRPr="004C7A41" w:rsidRDefault="00F5108C" w:rsidP="00C93337">
            <w:pPr>
              <w:pStyle w:val="1"/>
              <w:spacing w:line="276" w:lineRule="auto"/>
              <w:ind w:left="0" w:firstLine="202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F5108C" w:rsidRPr="00935F3D" w14:paraId="1F8E73E2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29082F9C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2.1.</w:t>
            </w:r>
          </w:p>
        </w:tc>
        <w:tc>
          <w:tcPr>
            <w:tcW w:w="1286" w:type="pct"/>
            <w:shd w:val="clear" w:color="auto" w:fill="FFFFFF" w:themeFill="background1"/>
          </w:tcPr>
          <w:p w14:paraId="1CE654A6" w14:textId="7777777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Капітальний ремонт будівлі школи №4 по вул. Петропавлівська, 79</w:t>
            </w:r>
          </w:p>
        </w:tc>
        <w:tc>
          <w:tcPr>
            <w:tcW w:w="276" w:type="pct"/>
            <w:shd w:val="clear" w:color="auto" w:fill="FFFFFF" w:themeFill="background1"/>
          </w:tcPr>
          <w:p w14:paraId="772B468C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3209" w:type="pct"/>
            <w:shd w:val="clear" w:color="auto" w:fill="FFFFFF" w:themeFill="background1"/>
          </w:tcPr>
          <w:p w14:paraId="29B376C9" w14:textId="1B8752F8" w:rsidR="00F5108C" w:rsidRPr="0070688B" w:rsidRDefault="00F5108C" w:rsidP="00935F3D">
            <w:pPr>
              <w:spacing w:after="0" w:line="276" w:lineRule="auto"/>
              <w:jc w:val="both"/>
              <w:rPr>
                <w:rFonts w:eastAsia="Times New Roman"/>
                <w:bCs/>
                <w:lang w:val="uk-UA"/>
              </w:rPr>
            </w:pPr>
            <w:r w:rsidRPr="0070688B">
              <w:rPr>
                <w:rFonts w:ascii="Times New Roman" w:hAnsi="Times New Roman" w:cs="Times New Roman"/>
                <w:lang w:val="uk-UA"/>
              </w:rPr>
              <w:t xml:space="preserve">У 2022 році управління </w:t>
            </w:r>
            <w:r w:rsidR="00512329">
              <w:rPr>
                <w:rFonts w:ascii="Times New Roman" w:hAnsi="Times New Roman" w:cs="Times New Roman"/>
                <w:lang w:val="uk-UA"/>
              </w:rPr>
              <w:t xml:space="preserve">було </w:t>
            </w:r>
            <w:r w:rsidRPr="0070688B">
              <w:rPr>
                <w:rFonts w:ascii="Times New Roman" w:hAnsi="Times New Roman" w:cs="Times New Roman"/>
                <w:lang w:val="uk-UA"/>
              </w:rPr>
              <w:t>обмежене у виконанні робіт з капітального ремонту згаданого об’єкта у зв’язку з прийняттям Закону України «Про затвердження Указу Президента України «Про введення воєнного стану в Україні» від 24.02.2022 №</w:t>
            </w:r>
            <w:r w:rsidR="00935F3D">
              <w:rPr>
                <w:rFonts w:ascii="Times New Roman" w:hAnsi="Times New Roman" w:cs="Times New Roman"/>
                <w:lang w:val="uk-UA"/>
              </w:rPr>
              <w:t> </w:t>
            </w:r>
            <w:r w:rsidRPr="0070688B">
              <w:rPr>
                <w:rFonts w:ascii="Times New Roman" w:hAnsi="Times New Roman" w:cs="Times New Roman"/>
                <w:lang w:val="uk-UA"/>
              </w:rPr>
              <w:t xml:space="preserve">2102-ІХ (із змінами), оскільки видатки не </w:t>
            </w:r>
            <w:r w:rsidRPr="0070688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відносяться до переліку пріоритетних видатків, відповідно до вимог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9 червня 2021 р</w:t>
            </w:r>
            <w:r w:rsidR="00935F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  <w:r w:rsidRPr="0070688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№</w:t>
            </w:r>
            <w:r w:rsidR="00935F3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 </w:t>
            </w:r>
            <w:r w:rsidRPr="0070688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590 (зі змінами).</w:t>
            </w:r>
          </w:p>
        </w:tc>
      </w:tr>
      <w:tr w:rsidR="00F5108C" w:rsidRPr="00935F3D" w14:paraId="50794A6E" w14:textId="77777777" w:rsidTr="008B7BB2">
        <w:trPr>
          <w:trHeight w:val="20"/>
        </w:trPr>
        <w:tc>
          <w:tcPr>
            <w:tcW w:w="5000" w:type="pct"/>
            <w:gridSpan w:val="4"/>
            <w:shd w:val="clear" w:color="auto" w:fill="FFD966" w:themeFill="accent4" w:themeFillTint="99"/>
          </w:tcPr>
          <w:p w14:paraId="4C360C0E" w14:textId="0D9A5285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Департамент забезпечення ресурсних платежів</w:t>
            </w:r>
          </w:p>
        </w:tc>
      </w:tr>
      <w:tr w:rsidR="00F5108C" w:rsidRPr="00935F3D" w14:paraId="12002650" w14:textId="77777777" w:rsidTr="0043524C">
        <w:trPr>
          <w:trHeight w:val="20"/>
        </w:trPr>
        <w:tc>
          <w:tcPr>
            <w:tcW w:w="229" w:type="pct"/>
            <w:shd w:val="clear" w:color="auto" w:fill="auto"/>
            <w:vAlign w:val="center"/>
          </w:tcPr>
          <w:p w14:paraId="1E718975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86" w:type="pct"/>
            <w:shd w:val="clear" w:color="auto" w:fill="FFFFFF" w:themeFill="background1"/>
          </w:tcPr>
          <w:p w14:paraId="04B31DC2" w14:textId="448CACAE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hAnsi="Times New Roman" w:cs="Times New Roman"/>
                <w:b/>
                <w:bCs/>
                <w:shd w:val="clear" w:color="auto" w:fill="FFFFFF"/>
                <w:lang w:val="uk-UA"/>
              </w:rPr>
              <w:t>Всього питань</w:t>
            </w: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14:paraId="66893D31" w14:textId="63C9764F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3209" w:type="pct"/>
            <w:shd w:val="clear" w:color="auto" w:fill="FFFFFF" w:themeFill="background1"/>
          </w:tcPr>
          <w:p w14:paraId="39FD76F7" w14:textId="7777777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5108C" w:rsidRPr="00935F3D" w14:paraId="7CD5D5C4" w14:textId="77777777" w:rsidTr="0043524C">
        <w:trPr>
          <w:trHeight w:val="20"/>
        </w:trPr>
        <w:tc>
          <w:tcPr>
            <w:tcW w:w="229" w:type="pct"/>
            <w:shd w:val="clear" w:color="auto" w:fill="FFF2CC" w:themeFill="accent4" w:themeFillTint="33"/>
            <w:vAlign w:val="center"/>
          </w:tcPr>
          <w:p w14:paraId="15C492CB" w14:textId="42CCB281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</w:t>
            </w:r>
          </w:p>
        </w:tc>
        <w:tc>
          <w:tcPr>
            <w:tcW w:w="1286" w:type="pct"/>
            <w:shd w:val="clear" w:color="auto" w:fill="FFF2CC" w:themeFill="accent4" w:themeFillTint="33"/>
          </w:tcPr>
          <w:p w14:paraId="3140385C" w14:textId="5517B8DD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Земельні відносини</w:t>
            </w:r>
          </w:p>
        </w:tc>
        <w:tc>
          <w:tcPr>
            <w:tcW w:w="276" w:type="pct"/>
            <w:shd w:val="clear" w:color="auto" w:fill="FFF2CC" w:themeFill="accent4" w:themeFillTint="33"/>
          </w:tcPr>
          <w:p w14:paraId="07BEE742" w14:textId="1CA8E4BF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3209" w:type="pct"/>
            <w:shd w:val="clear" w:color="auto" w:fill="FFF2CC" w:themeFill="accent4" w:themeFillTint="33"/>
          </w:tcPr>
          <w:p w14:paraId="41BA8D8B" w14:textId="7777777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5108C" w:rsidRPr="00CE243E" w14:paraId="44CDDC5F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0C5351C6" w14:textId="165C35A0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</w:t>
            </w:r>
          </w:p>
        </w:tc>
        <w:tc>
          <w:tcPr>
            <w:tcW w:w="1286" w:type="pct"/>
            <w:shd w:val="clear" w:color="auto" w:fill="FFFFFF" w:themeFill="background1"/>
          </w:tcPr>
          <w:p w14:paraId="7374DF49" w14:textId="6A82047A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Виготовлення проєкту землеустрою щодо визначення прибудинкової території будинку за </w:t>
            </w:r>
            <w:proofErr w:type="spellStart"/>
            <w:r w:rsidRPr="004C7A4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адресою</w:t>
            </w:r>
            <w:proofErr w:type="spellEnd"/>
            <w:r w:rsidRPr="004C7A4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: м. Суми, вул. Петропавлівська, 81</w:t>
            </w:r>
          </w:p>
        </w:tc>
        <w:tc>
          <w:tcPr>
            <w:tcW w:w="276" w:type="pct"/>
            <w:shd w:val="clear" w:color="auto" w:fill="FFFFFF" w:themeFill="background1"/>
          </w:tcPr>
          <w:p w14:paraId="65A6E2DC" w14:textId="18F2B5DB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3209" w:type="pct"/>
            <w:shd w:val="clear" w:color="auto" w:fill="FFFFFF" w:themeFill="background1"/>
          </w:tcPr>
          <w:p w14:paraId="0963B7C6" w14:textId="5CE78B4A" w:rsidR="007D28A3" w:rsidRPr="007D28A3" w:rsidRDefault="007D28A3" w:rsidP="00341C3D">
            <w:pPr>
              <w:pStyle w:val="1"/>
              <w:spacing w:line="276" w:lineRule="auto"/>
              <w:ind w:left="0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7D28A3">
              <w:rPr>
                <w:rFonts w:eastAsia="Times New Roman"/>
                <w:sz w:val="22"/>
                <w:szCs w:val="22"/>
                <w:lang w:val="uk-UA"/>
              </w:rPr>
              <w:t xml:space="preserve">Прибудинкова територія </w:t>
            </w:r>
            <w:r w:rsidR="00935F3D">
              <w:rPr>
                <w:rFonts w:eastAsia="Times New Roman"/>
                <w:sz w:val="22"/>
                <w:szCs w:val="22"/>
                <w:lang w:val="uk-UA"/>
              </w:rPr>
              <w:t>будинку № </w:t>
            </w:r>
            <w:r w:rsidRPr="007D28A3">
              <w:rPr>
                <w:rFonts w:eastAsia="Times New Roman"/>
                <w:sz w:val="22"/>
                <w:szCs w:val="22"/>
                <w:lang w:val="uk-UA"/>
              </w:rPr>
              <w:t>81 по вул. Петропавлівській в м. Суми встановлена рішенням Сумської міської ради від 25.02.2004 № 710-МР «Про затвердження прибудинкових територій житлових будинків». Вказаним рішенням затверджені її межі і розмір, площею 0,1880 га, відомості щодо неї внесені до Державного земельного кадастру з кадастровим номером 5910136300:04:008:0001.</w:t>
            </w:r>
          </w:p>
          <w:p w14:paraId="518DE32C" w14:textId="77777777" w:rsidR="007D28A3" w:rsidRPr="007D28A3" w:rsidRDefault="007D28A3" w:rsidP="00341C3D">
            <w:pPr>
              <w:pStyle w:val="1"/>
              <w:spacing w:line="276" w:lineRule="auto"/>
              <w:ind w:left="0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7D28A3">
              <w:rPr>
                <w:rFonts w:eastAsia="Times New Roman"/>
                <w:sz w:val="22"/>
                <w:szCs w:val="22"/>
                <w:lang w:val="uk-UA"/>
              </w:rPr>
              <w:t xml:space="preserve">Отже в даному випадку недоцільно повторно розробляти проект землеустрою щодо визначення прибудинкової території за вказаною </w:t>
            </w:r>
            <w:proofErr w:type="spellStart"/>
            <w:r w:rsidRPr="007D28A3">
              <w:rPr>
                <w:rFonts w:eastAsia="Times New Roman"/>
                <w:sz w:val="22"/>
                <w:szCs w:val="22"/>
                <w:lang w:val="uk-UA"/>
              </w:rPr>
              <w:t>ад</w:t>
            </w:r>
            <w:bookmarkStart w:id="0" w:name="_GoBack"/>
            <w:bookmarkEnd w:id="0"/>
            <w:r w:rsidRPr="007D28A3">
              <w:rPr>
                <w:rFonts w:eastAsia="Times New Roman"/>
                <w:sz w:val="22"/>
                <w:szCs w:val="22"/>
                <w:lang w:val="uk-UA"/>
              </w:rPr>
              <w:t>ресою</w:t>
            </w:r>
            <w:proofErr w:type="spellEnd"/>
            <w:r w:rsidRPr="007D28A3">
              <w:rPr>
                <w:rFonts w:eastAsia="Times New Roman"/>
                <w:sz w:val="22"/>
                <w:szCs w:val="22"/>
                <w:lang w:val="uk-UA"/>
              </w:rPr>
              <w:t>, оскільки земельна ділянка сформована і є об’єктом цивільних прав відповідно до вимог частини 9 статті 79</w:t>
            </w:r>
            <w:r w:rsidRPr="007D28A3">
              <w:rPr>
                <w:rFonts w:eastAsia="Times New Roman"/>
                <w:sz w:val="22"/>
                <w:szCs w:val="22"/>
                <w:vertAlign w:val="superscript"/>
                <w:lang w:val="uk-UA"/>
              </w:rPr>
              <w:t>1</w:t>
            </w:r>
            <w:r w:rsidRPr="007D28A3">
              <w:rPr>
                <w:rFonts w:eastAsia="Times New Roman"/>
                <w:sz w:val="22"/>
                <w:szCs w:val="22"/>
                <w:lang w:val="uk-UA"/>
              </w:rPr>
              <w:t xml:space="preserve"> Земельного кодексу України.</w:t>
            </w:r>
          </w:p>
          <w:p w14:paraId="4E5A0F20" w14:textId="3FF67E70" w:rsidR="00F5108C" w:rsidRPr="007D28A3" w:rsidRDefault="00F5108C" w:rsidP="00341C3D">
            <w:pPr>
              <w:pStyle w:val="1"/>
              <w:spacing w:line="276" w:lineRule="auto"/>
              <w:ind w:left="0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F5108C" w:rsidRPr="004C7A41" w14:paraId="61A6A160" w14:textId="77777777" w:rsidTr="008B7BB2">
        <w:trPr>
          <w:trHeight w:val="20"/>
        </w:trPr>
        <w:tc>
          <w:tcPr>
            <w:tcW w:w="5000" w:type="pct"/>
            <w:gridSpan w:val="4"/>
            <w:shd w:val="clear" w:color="auto" w:fill="FFD966" w:themeFill="accent4" w:themeFillTint="99"/>
            <w:vAlign w:val="center"/>
          </w:tcPr>
          <w:p w14:paraId="60BE3E10" w14:textId="29ABE3B5" w:rsidR="00F5108C" w:rsidRPr="004C7A41" w:rsidRDefault="00F5108C" w:rsidP="00C93337">
            <w:pPr>
              <w:pStyle w:val="Defaul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 w:eastAsia="ru-RU"/>
              </w:rPr>
              <w:t>Управління стратегічного розвитку міста</w:t>
            </w:r>
          </w:p>
        </w:tc>
      </w:tr>
      <w:tr w:rsidR="00F5108C" w:rsidRPr="004C7A41" w14:paraId="57083607" w14:textId="77777777" w:rsidTr="0043524C">
        <w:trPr>
          <w:trHeight w:val="20"/>
        </w:trPr>
        <w:tc>
          <w:tcPr>
            <w:tcW w:w="229" w:type="pct"/>
            <w:shd w:val="clear" w:color="auto" w:fill="auto"/>
            <w:vAlign w:val="center"/>
          </w:tcPr>
          <w:p w14:paraId="5089D849" w14:textId="77777777" w:rsidR="00F5108C" w:rsidRPr="004C7A41" w:rsidRDefault="00F5108C" w:rsidP="00C93337">
            <w:pPr>
              <w:pStyle w:val="Defaul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2"/>
                <w:szCs w:val="22"/>
                <w:lang w:val="uk-UA" w:eastAsia="ru-RU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14:paraId="6969A6E7" w14:textId="4C520E48" w:rsidR="00F5108C" w:rsidRPr="004C7A41" w:rsidRDefault="00F5108C" w:rsidP="00C93337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2"/>
                <w:szCs w:val="22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 w:eastAsia="ru-RU"/>
              </w:rPr>
              <w:t>Всього питань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259BE941" w14:textId="6B30B59A" w:rsidR="00F5108C" w:rsidRPr="004C7A41" w:rsidRDefault="00F5108C" w:rsidP="00C93337">
            <w:pPr>
              <w:pStyle w:val="Defaul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2"/>
                <w:szCs w:val="22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69501A22" w14:textId="77777777" w:rsidR="00F5108C" w:rsidRPr="004C7A41" w:rsidRDefault="00F5108C" w:rsidP="00C93337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2"/>
                <w:szCs w:val="22"/>
                <w:lang w:val="uk-UA" w:eastAsia="ru-RU"/>
              </w:rPr>
            </w:pPr>
          </w:p>
        </w:tc>
      </w:tr>
      <w:tr w:rsidR="00F5108C" w:rsidRPr="00CE243E" w14:paraId="251B40F4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710D8CFF" w14:textId="3806DF79" w:rsidR="00F5108C" w:rsidRPr="004C7A41" w:rsidRDefault="00F5108C" w:rsidP="00C93337">
            <w:pPr>
              <w:pStyle w:val="Default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1286" w:type="pct"/>
            <w:shd w:val="clear" w:color="auto" w:fill="auto"/>
          </w:tcPr>
          <w:p w14:paraId="2F573882" w14:textId="5A1CD442" w:rsidR="00F5108C" w:rsidRPr="004C7A41" w:rsidRDefault="00F5108C" w:rsidP="00C93337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Пропоную розробити стратегію розвитку туристичного потенціалу міста Суми, як козацького полкового центру України 17-18 ст. та «цукрової» столиці 19 сторіччя. Нашому місту у спадщину залишилася велика кількість автентичних споруд з цих часів, які несуть архітектурну цінність. Якщо крок за кроком реконструювати усі ці будинки, які знаходяться як в історичному кварталі між вулицями Соборна та Набережною річки Стрілка, так і на вулицях Троїцька та Петропавлівська, то місто стане </w:t>
            </w:r>
            <w:r w:rsidRPr="004C7A4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lastRenderedPageBreak/>
              <w:t xml:space="preserve">неймовірно привабливим і зможе бути цікавим як «місто вихідного дня» для туристів з сусідніх обласних центрів. І саме завдяки туризму місто зможе </w:t>
            </w:r>
            <w:proofErr w:type="spellStart"/>
            <w:r w:rsidRPr="004C7A4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розвинутися</w:t>
            </w:r>
            <w:proofErr w:type="spellEnd"/>
            <w:r w:rsidRPr="004C7A4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 і почати на цьому заробляти, так само як Львів, Одесса і тепер вже й Чернігів, який за останні 5 років відновив свій історичний центр і став новим туристичним магнітом.</w:t>
            </w:r>
          </w:p>
          <w:p w14:paraId="401FB0F6" w14:textId="77777777" w:rsidR="00F5108C" w:rsidRPr="004C7A41" w:rsidRDefault="00F5108C" w:rsidP="00C93337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Але вкрай важливо реконструкцію проводити зі збереженням автентичної архітектури, оскільки саме в деталях і полягає історична цінність будівель.</w:t>
            </w:r>
          </w:p>
        </w:tc>
        <w:tc>
          <w:tcPr>
            <w:tcW w:w="276" w:type="pct"/>
            <w:shd w:val="clear" w:color="auto" w:fill="auto"/>
          </w:tcPr>
          <w:p w14:paraId="6C757E89" w14:textId="77777777" w:rsidR="00F5108C" w:rsidRPr="004C7A41" w:rsidRDefault="00F5108C" w:rsidP="00C93337">
            <w:pPr>
              <w:pStyle w:val="Default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lastRenderedPageBreak/>
              <w:t>1</w:t>
            </w:r>
          </w:p>
        </w:tc>
        <w:tc>
          <w:tcPr>
            <w:tcW w:w="3209" w:type="pct"/>
            <w:shd w:val="clear" w:color="auto" w:fill="auto"/>
          </w:tcPr>
          <w:p w14:paraId="0E0B29E9" w14:textId="67213A18" w:rsidR="00F5108C" w:rsidRPr="004C7A41" w:rsidRDefault="00F5108C" w:rsidP="00C93337">
            <w:pPr>
              <w:pStyle w:val="ac"/>
              <w:spacing w:before="0" w:beforeAutospacing="0" w:after="0" w:afterAutospacing="0" w:line="276" w:lineRule="auto"/>
              <w:ind w:right="103"/>
              <w:jc w:val="both"/>
              <w:rPr>
                <w:sz w:val="22"/>
                <w:szCs w:val="22"/>
                <w:lang w:val="uk-UA"/>
              </w:rPr>
            </w:pPr>
            <w:r w:rsidRPr="004C7A41">
              <w:rPr>
                <w:color w:val="050505"/>
                <w:sz w:val="22"/>
                <w:szCs w:val="22"/>
                <w:lang w:val="uk-UA"/>
              </w:rPr>
              <w:t>Розпорядженням міського голови №</w:t>
            </w:r>
            <w:r w:rsidRPr="004C7A41">
              <w:rPr>
                <w:color w:val="050505"/>
                <w:sz w:val="22"/>
                <w:szCs w:val="22"/>
                <w:shd w:val="clear" w:color="auto" w:fill="FFFFFF"/>
                <w:lang w:val="uk-UA"/>
              </w:rPr>
              <w:t xml:space="preserve">375-Р від 10.11.2021 </w:t>
            </w:r>
            <w:r>
              <w:rPr>
                <w:color w:val="050505"/>
                <w:sz w:val="22"/>
                <w:szCs w:val="22"/>
                <w:shd w:val="clear" w:color="auto" w:fill="FFFFFF"/>
                <w:lang w:val="uk-UA"/>
              </w:rPr>
              <w:t xml:space="preserve">було </w:t>
            </w:r>
            <w:r w:rsidRPr="004C7A41">
              <w:rPr>
                <w:color w:val="050505"/>
                <w:sz w:val="22"/>
                <w:szCs w:val="22"/>
                <w:lang w:val="uk-UA"/>
              </w:rPr>
              <w:t>створено робочу групу із розробки концепції зовнішнього освітлення історичного ареалу СМТГ.  Мета концепції - створення нічного образу міста, покращення якості громадського простору та туристичної привабливості громади. На даний час проведено два засідання та розпочат</w:t>
            </w:r>
            <w:r>
              <w:rPr>
                <w:color w:val="050505"/>
                <w:sz w:val="22"/>
                <w:szCs w:val="22"/>
                <w:lang w:val="uk-UA"/>
              </w:rPr>
              <w:t>о роботу над концепцією. Але</w:t>
            </w:r>
            <w:r w:rsidRPr="00A13A25">
              <w:rPr>
                <w:sz w:val="22"/>
                <w:szCs w:val="22"/>
                <w:lang w:val="uk-UA"/>
              </w:rPr>
              <w:t>, у зв’язку з повномасштабним вторгненням російської федерації на територію України впровадження та реалізація багатьох запланованих проєктів призупинена та буде продовжена в умовах післявоєнного відновлення.</w:t>
            </w:r>
          </w:p>
          <w:p w14:paraId="72842F79" w14:textId="77777777" w:rsidR="00F5108C" w:rsidRPr="004C7A41" w:rsidRDefault="00F5108C" w:rsidP="00C93337">
            <w:pPr>
              <w:pStyle w:val="ac"/>
              <w:shd w:val="clear" w:color="auto" w:fill="FFFFFF"/>
              <w:spacing w:before="0" w:beforeAutospacing="0" w:after="0" w:afterAutospacing="0" w:line="276" w:lineRule="auto"/>
              <w:ind w:right="103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</w:tr>
      <w:tr w:rsidR="00F5108C" w:rsidRPr="004C7A41" w14:paraId="1BAEDA4F" w14:textId="77777777" w:rsidTr="00A00F73">
        <w:trPr>
          <w:trHeight w:val="20"/>
        </w:trPr>
        <w:tc>
          <w:tcPr>
            <w:tcW w:w="5000" w:type="pct"/>
            <w:gridSpan w:val="4"/>
            <w:shd w:val="clear" w:color="auto" w:fill="FFD966" w:themeFill="accent4" w:themeFillTint="99"/>
          </w:tcPr>
          <w:p w14:paraId="4873C08E" w14:textId="55EE318E" w:rsidR="00F5108C" w:rsidRPr="004C7A41" w:rsidRDefault="00F5108C" w:rsidP="00C93337">
            <w:pPr>
              <w:pStyle w:val="1"/>
              <w:spacing w:line="276" w:lineRule="auto"/>
              <w:ind w:left="0" w:firstLine="202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4C7A41">
              <w:rPr>
                <w:rFonts w:eastAsia="Times New Roman"/>
                <w:b/>
                <w:sz w:val="28"/>
                <w:szCs w:val="28"/>
                <w:lang w:val="uk-UA"/>
              </w:rPr>
              <w:t>Відділ транспорту, зв'язку та телекомунікаційних послуг</w:t>
            </w:r>
          </w:p>
        </w:tc>
      </w:tr>
      <w:tr w:rsidR="00F5108C" w:rsidRPr="004C7A41" w14:paraId="7D5E51BF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696361B7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286" w:type="pct"/>
            <w:shd w:val="clear" w:color="auto" w:fill="FFFFFF" w:themeFill="background1"/>
          </w:tcPr>
          <w:p w14:paraId="5C19872E" w14:textId="4D1E9DE6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Всього питань</w:t>
            </w:r>
          </w:p>
        </w:tc>
        <w:tc>
          <w:tcPr>
            <w:tcW w:w="276" w:type="pct"/>
            <w:shd w:val="clear" w:color="auto" w:fill="FFFFFF" w:themeFill="background1"/>
          </w:tcPr>
          <w:p w14:paraId="44235645" w14:textId="4B5E8533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</w:t>
            </w:r>
          </w:p>
        </w:tc>
        <w:tc>
          <w:tcPr>
            <w:tcW w:w="3209" w:type="pct"/>
            <w:shd w:val="clear" w:color="auto" w:fill="FFFFFF" w:themeFill="background1"/>
          </w:tcPr>
          <w:p w14:paraId="1AB17128" w14:textId="77777777" w:rsidR="00F5108C" w:rsidRPr="004C7A41" w:rsidRDefault="00F5108C" w:rsidP="00C93337">
            <w:pPr>
              <w:pStyle w:val="1"/>
              <w:spacing w:line="276" w:lineRule="auto"/>
              <w:ind w:left="0" w:firstLine="202"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F5108C" w:rsidRPr="004C7A41" w14:paraId="08B1AE30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26730C37" w14:textId="74F42A4B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1286" w:type="pct"/>
            <w:shd w:val="clear" w:color="auto" w:fill="FFFFFF" w:themeFill="background1"/>
          </w:tcPr>
          <w:p w14:paraId="7B9DEEA2" w14:textId="7777777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 наступному році має відбутися новий транспортний конкурс для приватних перевізників. Як заявив мер нашого міста, то однією з умов участі у ньому буде перевезення пасажирів саме автобусами. Але оскільки маршрутки "Рута" стали прирівнюватися до тих самих автобусів, хоч насправді не мають нічого з ними спільного за показниками комфорту та безпеки, то пропоную додати наступні вимоги для перемоги у конкурсі:</w:t>
            </w:r>
          </w:p>
          <w:p w14:paraId="74D8B40F" w14:textId="7E95BF6F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1) автобуси мають бути не менше ніж 50% з низькою підлогою, щоб на накопичувальному майданчику могли вільно вміститися два візки людей з інвалідністю та </w:t>
            </w:r>
            <w:proofErr w:type="spellStart"/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маломобільних</w:t>
            </w:r>
            <w:proofErr w:type="spellEnd"/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груп населення, при цьому не заважаючи пересуванню інших пасажирів; </w:t>
            </w:r>
          </w:p>
          <w:p w14:paraId="3880A35A" w14:textId="51DE0B85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 xml:space="preserve">2) загальна кількість місць автобусів щонайменше - 65 пасажирів, оскільки автобуси меншої місткості довели свою нездатність при перевезенні всіх охочих сумчан в часи пік, а особливо у період </w:t>
            </w:r>
            <w:proofErr w:type="spellStart"/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локдауну</w:t>
            </w:r>
            <w:proofErr w:type="spellEnd"/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;</w:t>
            </w:r>
          </w:p>
          <w:p w14:paraId="3A078FEF" w14:textId="2AF8F191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3) автобуси можуть бути б/у і відповідати усім критеріям безпеки та екологічному стандарту Євро-5.</w:t>
            </w:r>
          </w:p>
          <w:p w14:paraId="4F298E4D" w14:textId="6E7E880F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Таким чином ці вимоги дозволять перевізникам зайти на ринок перевезень із сучасними автобусами європейського рівня замість </w:t>
            </w:r>
            <w:proofErr w:type="spellStart"/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Рут</w:t>
            </w:r>
            <w:proofErr w:type="spellEnd"/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, які мало того, що коштують майже вдвічі дорожче (72 тис. $ проти 35 тис. $), але й програють у всіх інших показниках комфорту та безпеки, як для пасажирів, так і для їх водіїв. </w:t>
            </w:r>
          </w:p>
          <w:p w14:paraId="08450EF2" w14:textId="764BD7FE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Таким шляхом пішли у Києві, Полтаві та інших містах у Західній Україні, що значно підвищило якість перевезень їх мешканців.</w:t>
            </w:r>
          </w:p>
        </w:tc>
        <w:tc>
          <w:tcPr>
            <w:tcW w:w="276" w:type="pct"/>
            <w:shd w:val="clear" w:color="auto" w:fill="FFFFFF" w:themeFill="background1"/>
          </w:tcPr>
          <w:p w14:paraId="2C2BE65B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1</w:t>
            </w:r>
          </w:p>
        </w:tc>
        <w:tc>
          <w:tcPr>
            <w:tcW w:w="3209" w:type="pct"/>
            <w:shd w:val="clear" w:color="auto" w:fill="FFFFFF" w:themeFill="background1"/>
          </w:tcPr>
          <w:p w14:paraId="1C612E1D" w14:textId="4BADD6B0" w:rsidR="00F5108C" w:rsidRPr="009333D8" w:rsidRDefault="00F5108C" w:rsidP="00C93337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333D8">
              <w:rPr>
                <w:rFonts w:ascii="Times New Roman" w:hAnsi="Times New Roman" w:cs="Times New Roman"/>
                <w:lang w:val="uk-UA"/>
              </w:rPr>
              <w:t>Оновлення автобусів приватних перевізників здійснюється суб’єктами господарювання самостійно та за власний кошт. Через необхідність виконання ряду зобов’язань  Антимонопольного комітету України КП СМР «</w:t>
            </w:r>
            <w:proofErr w:type="spellStart"/>
            <w:r w:rsidRPr="009333D8">
              <w:rPr>
                <w:rFonts w:ascii="Times New Roman" w:hAnsi="Times New Roman" w:cs="Times New Roman"/>
                <w:lang w:val="uk-UA"/>
              </w:rPr>
              <w:t>Електроавтотранс</w:t>
            </w:r>
            <w:proofErr w:type="spellEnd"/>
            <w:r w:rsidRPr="009333D8">
              <w:rPr>
                <w:rFonts w:ascii="Times New Roman" w:hAnsi="Times New Roman" w:cs="Times New Roman"/>
                <w:lang w:val="uk-UA"/>
              </w:rPr>
              <w:t xml:space="preserve">» оновлює парк комунальних автобусів за рахунок власних коштів з урахуванням фінансової спроможності. Зокрема, у </w:t>
            </w:r>
            <w:r>
              <w:rPr>
                <w:rFonts w:ascii="Times New Roman" w:hAnsi="Times New Roman" w:cs="Times New Roman"/>
                <w:lang w:val="uk-UA"/>
              </w:rPr>
              <w:t>2021</w:t>
            </w:r>
            <w:r w:rsidRPr="009333D8">
              <w:rPr>
                <w:rFonts w:ascii="Times New Roman" w:hAnsi="Times New Roman" w:cs="Times New Roman"/>
                <w:lang w:val="uk-UA"/>
              </w:rPr>
              <w:t xml:space="preserve"> році було придбано 2 автобуси середньої місткості. Окрім того, впровадження воєнного стану у зв’язку із збройною агресією російської федерації проти України значним чином ускладнює оновлення комунального транспорту.</w:t>
            </w:r>
          </w:p>
          <w:p w14:paraId="37656FF7" w14:textId="1512E34D" w:rsidR="00F5108C" w:rsidRPr="009333D8" w:rsidRDefault="00F5108C" w:rsidP="00C93337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333D8">
              <w:rPr>
                <w:rFonts w:ascii="Times New Roman" w:hAnsi="Times New Roman" w:cs="Times New Roman"/>
                <w:lang w:val="uk-UA"/>
              </w:rPr>
              <w:t>Викладене у пропозиції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9333D8">
              <w:rPr>
                <w:rFonts w:ascii="Times New Roman" w:hAnsi="Times New Roman" w:cs="Times New Roman"/>
                <w:lang w:val="uk-UA"/>
              </w:rPr>
              <w:t xml:space="preserve"> стосується умов транспортного конкурсу, що затверджуються рішенням Виконавчого комітету та є регуляторним актом.</w:t>
            </w:r>
          </w:p>
          <w:p w14:paraId="49852B40" w14:textId="24165112" w:rsidR="00F5108C" w:rsidRPr="009333D8" w:rsidRDefault="00F5108C" w:rsidP="00C93337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333D8">
              <w:rPr>
                <w:rFonts w:ascii="Times New Roman" w:hAnsi="Times New Roman" w:cs="Times New Roman"/>
                <w:lang w:val="uk-UA"/>
              </w:rPr>
              <w:t xml:space="preserve">Вимоги щодо наявності у перевізників транспортних засобів для перевезення осіб з обмеженими фізичними можливостями встановлені чинним законодавством. </w:t>
            </w:r>
          </w:p>
          <w:p w14:paraId="14D90BE5" w14:textId="1ACD2CFC" w:rsidR="00F5108C" w:rsidRPr="009333D8" w:rsidRDefault="00F5108C" w:rsidP="00C93337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333D8">
              <w:rPr>
                <w:rFonts w:ascii="Times New Roman" w:hAnsi="Times New Roman" w:cs="Times New Roman"/>
                <w:lang w:val="uk-UA"/>
              </w:rPr>
              <w:t>Згідно із постановою КМУ від 3 грудня 2008 р. № 1081 бали на транспортному конкурсі нараховуються перевізникові за автобуси з показником екологічності Євро-3 і вище. Аналіз чинного законодавства у сфері автомобільного транспорту на сьогодні не містить норм, які б забороняли використовувати перевізникам на міських чи приміських автобусних маршрутах загального користування автобуси з показниками екологічності нижче Євро-3.</w:t>
            </w:r>
          </w:p>
          <w:p w14:paraId="2B30F5D8" w14:textId="5B87CF42" w:rsidR="00F5108C" w:rsidRPr="009333D8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9333D8">
              <w:rPr>
                <w:rFonts w:ascii="Times New Roman" w:hAnsi="Times New Roman" w:cs="Times New Roman"/>
                <w:lang w:val="uk-UA"/>
              </w:rPr>
              <w:t>Структура автобусного парку по кожному із об’єкт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r w:rsidRPr="009333D8">
              <w:rPr>
                <w:rFonts w:ascii="Times New Roman" w:hAnsi="Times New Roman" w:cs="Times New Roman"/>
                <w:lang w:val="uk-UA"/>
              </w:rPr>
              <w:t xml:space="preserve"> транспортного конкурсу визначається рішенням Виконавчого комітету про проведення конкурсу. </w:t>
            </w:r>
          </w:p>
        </w:tc>
      </w:tr>
      <w:tr w:rsidR="00F5108C" w:rsidRPr="004C7A41" w14:paraId="0A2669CB" w14:textId="77777777" w:rsidTr="008B7BB2">
        <w:trPr>
          <w:trHeight w:val="20"/>
        </w:trPr>
        <w:tc>
          <w:tcPr>
            <w:tcW w:w="5000" w:type="pct"/>
            <w:gridSpan w:val="4"/>
            <w:shd w:val="clear" w:color="auto" w:fill="FFD966" w:themeFill="accent4" w:themeFillTint="99"/>
          </w:tcPr>
          <w:p w14:paraId="2DB1696E" w14:textId="0BB297CF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Відділ фізичної культури та спорту</w:t>
            </w:r>
          </w:p>
        </w:tc>
      </w:tr>
      <w:tr w:rsidR="00F5108C" w:rsidRPr="004C7A41" w14:paraId="515FAFB5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5B72DEA3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286" w:type="pct"/>
            <w:shd w:val="clear" w:color="auto" w:fill="FFFFFF" w:themeFill="background1"/>
          </w:tcPr>
          <w:p w14:paraId="19414C32" w14:textId="3828422E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Всього питань</w:t>
            </w:r>
          </w:p>
        </w:tc>
        <w:tc>
          <w:tcPr>
            <w:tcW w:w="276" w:type="pct"/>
            <w:shd w:val="clear" w:color="auto" w:fill="FFFFFF" w:themeFill="background1"/>
          </w:tcPr>
          <w:p w14:paraId="2E611B68" w14:textId="6C119F53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</w:t>
            </w:r>
          </w:p>
        </w:tc>
        <w:tc>
          <w:tcPr>
            <w:tcW w:w="3209" w:type="pct"/>
            <w:shd w:val="clear" w:color="auto" w:fill="FFFFFF" w:themeFill="background1"/>
          </w:tcPr>
          <w:p w14:paraId="5E65303C" w14:textId="77777777" w:rsidR="00F5108C" w:rsidRPr="004C7A41" w:rsidRDefault="00F5108C" w:rsidP="00C93337">
            <w:pPr>
              <w:pStyle w:val="1"/>
              <w:spacing w:line="276" w:lineRule="auto"/>
              <w:ind w:left="0" w:firstLine="202"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F5108C" w:rsidRPr="004C7A41" w14:paraId="72FCE91E" w14:textId="77777777" w:rsidTr="0043524C">
        <w:trPr>
          <w:trHeight w:val="20"/>
        </w:trPr>
        <w:tc>
          <w:tcPr>
            <w:tcW w:w="229" w:type="pct"/>
            <w:shd w:val="clear" w:color="auto" w:fill="FFF2CC" w:themeFill="accent4" w:themeFillTint="33"/>
            <w:vAlign w:val="center"/>
          </w:tcPr>
          <w:p w14:paraId="5EE485D9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</w:t>
            </w:r>
          </w:p>
        </w:tc>
        <w:tc>
          <w:tcPr>
            <w:tcW w:w="1286" w:type="pct"/>
            <w:shd w:val="clear" w:color="auto" w:fill="FFF2CC" w:themeFill="accent4" w:themeFillTint="33"/>
          </w:tcPr>
          <w:p w14:paraId="16EE8866" w14:textId="7777777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Фізична культура і спорт</w:t>
            </w:r>
          </w:p>
        </w:tc>
        <w:tc>
          <w:tcPr>
            <w:tcW w:w="276" w:type="pct"/>
            <w:shd w:val="clear" w:color="auto" w:fill="FFF2CC" w:themeFill="accent4" w:themeFillTint="33"/>
          </w:tcPr>
          <w:p w14:paraId="2FD4A209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</w:t>
            </w:r>
          </w:p>
        </w:tc>
        <w:tc>
          <w:tcPr>
            <w:tcW w:w="3209" w:type="pct"/>
            <w:shd w:val="clear" w:color="auto" w:fill="FFF2CC" w:themeFill="accent4" w:themeFillTint="33"/>
          </w:tcPr>
          <w:p w14:paraId="0B590565" w14:textId="77777777" w:rsidR="00F5108C" w:rsidRPr="004C7A41" w:rsidRDefault="00F5108C" w:rsidP="00C93337">
            <w:pPr>
              <w:pStyle w:val="1"/>
              <w:spacing w:line="276" w:lineRule="auto"/>
              <w:ind w:left="0" w:firstLine="202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F5108C" w:rsidRPr="004C7A41" w14:paraId="00F49D98" w14:textId="77777777" w:rsidTr="0043524C">
        <w:trPr>
          <w:trHeight w:val="20"/>
        </w:trPr>
        <w:tc>
          <w:tcPr>
            <w:tcW w:w="229" w:type="pct"/>
            <w:shd w:val="clear" w:color="auto" w:fill="FFFFFF" w:themeFill="background1"/>
          </w:tcPr>
          <w:p w14:paraId="6B881869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1.1.</w:t>
            </w:r>
          </w:p>
        </w:tc>
        <w:tc>
          <w:tcPr>
            <w:tcW w:w="1286" w:type="pct"/>
            <w:shd w:val="clear" w:color="auto" w:fill="FFFFFF" w:themeFill="background1"/>
          </w:tcPr>
          <w:p w14:paraId="6C2CCCAB" w14:textId="67345ACA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Прошу виділити на 2022 рік кошти на розвиток боксу в м. Суми в розмірі                    250 000 грн. для забезпечення :</w:t>
            </w:r>
          </w:p>
          <w:p w14:paraId="0DB4AD44" w14:textId="7777777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 участі кращих спортсменів в навчально-тренувальних зборах в складі національної збірної (а саме- проїзд, харчування, проживання);</w:t>
            </w:r>
          </w:p>
          <w:p w14:paraId="6767C7F7" w14:textId="7777777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- проведення навчально-тренувальних зборів при підготовці до міських, </w:t>
            </w:r>
            <w:r w:rsidRPr="004C7A4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lastRenderedPageBreak/>
              <w:t>обласних, всеукраїнських та міжнародних змагань</w:t>
            </w:r>
          </w:p>
          <w:p w14:paraId="2FE09C3F" w14:textId="43B0A6E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 проведення навчально-тренувальних зборів та матчевих зустрічей з командами інших міст та областей.</w:t>
            </w:r>
          </w:p>
        </w:tc>
        <w:tc>
          <w:tcPr>
            <w:tcW w:w="276" w:type="pct"/>
            <w:shd w:val="clear" w:color="auto" w:fill="FFFFFF" w:themeFill="background1"/>
          </w:tcPr>
          <w:p w14:paraId="105C6864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lastRenderedPageBreak/>
              <w:t>1</w:t>
            </w:r>
          </w:p>
        </w:tc>
        <w:tc>
          <w:tcPr>
            <w:tcW w:w="3209" w:type="pct"/>
            <w:shd w:val="clear" w:color="auto" w:fill="FFFFFF" w:themeFill="background1"/>
          </w:tcPr>
          <w:p w14:paraId="06A5291C" w14:textId="4EAF9741" w:rsidR="00F5108C" w:rsidRPr="00DC2811" w:rsidRDefault="00F5108C" w:rsidP="00C93337">
            <w:pPr>
              <w:pStyle w:val="1"/>
              <w:spacing w:line="276" w:lineRule="auto"/>
              <w:ind w:left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</w:pPr>
            <w:r w:rsidRPr="00DC2811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>Кошти на участь спортсменів в навчально-тренувальних зборах у складі національної збірної (а саме: проїзд, харчування, проживання); проведення навчально-тренувальних зборів при підготовці до міських, обласних, всеукраїнських та міжнародних змагань та навчально-тренувальних зборів, матчевих зустрічей з командами інших міст та областей, в бюджеті СМТГ на 2022 рік не передбачалися.</w:t>
            </w:r>
          </w:p>
          <w:p w14:paraId="0926D13F" w14:textId="77777777" w:rsidR="00F5108C" w:rsidRPr="00DC2811" w:rsidRDefault="00F5108C" w:rsidP="00C93337">
            <w:pPr>
              <w:pStyle w:val="1"/>
              <w:spacing w:line="276" w:lineRule="auto"/>
              <w:ind w:left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F5108C" w:rsidRPr="004C7A41" w14:paraId="53F14840" w14:textId="77777777" w:rsidTr="0043524C">
        <w:trPr>
          <w:trHeight w:val="20"/>
        </w:trPr>
        <w:tc>
          <w:tcPr>
            <w:tcW w:w="229" w:type="pct"/>
            <w:shd w:val="clear" w:color="auto" w:fill="auto"/>
          </w:tcPr>
          <w:p w14:paraId="434E72B0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1.2.</w:t>
            </w:r>
          </w:p>
        </w:tc>
        <w:tc>
          <w:tcPr>
            <w:tcW w:w="1286" w:type="pct"/>
            <w:shd w:val="clear" w:color="auto" w:fill="auto"/>
          </w:tcPr>
          <w:p w14:paraId="1FB5B8E5" w14:textId="7777777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Виділення 1 000 000 грн для розвитку баскетболу в м. Суми та участі команд, які представлятимуть м. Суми, у чемпіонатах та Кубках України з баскетболу:</w:t>
            </w:r>
          </w:p>
          <w:p w14:paraId="1982FA0B" w14:textId="7777777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- чемпіонат України серед чоловічих команд Вищої ліги;</w:t>
            </w:r>
          </w:p>
          <w:p w14:paraId="50BF2B19" w14:textId="7777777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-чемпіонат України серед молодіжних команд;</w:t>
            </w:r>
          </w:p>
          <w:p w14:paraId="50E53346" w14:textId="7777777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- дитячо-юнацька баскетбольна ліга України;</w:t>
            </w:r>
          </w:p>
          <w:p w14:paraId="03ECF26E" w14:textId="77777777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- чемпіонати та Кубки України з баскетболу 3х3 серед чоловіків та жінок, серед молодіжних команд, серед юнацьких команд;</w:t>
            </w:r>
          </w:p>
          <w:p w14:paraId="596046A3" w14:textId="1749E983" w:rsidR="00F5108C" w:rsidRPr="004C7A41" w:rsidRDefault="00F5108C" w:rsidP="00C933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- проведення чемпіонатів та кубків                        м. Суми з баскетболу та баскетболу 3х3 серед чоловічих, жіночих та юнацьких команд.</w:t>
            </w:r>
          </w:p>
        </w:tc>
        <w:tc>
          <w:tcPr>
            <w:tcW w:w="276" w:type="pct"/>
            <w:shd w:val="clear" w:color="auto" w:fill="auto"/>
          </w:tcPr>
          <w:p w14:paraId="7C45D649" w14:textId="77777777" w:rsidR="00F5108C" w:rsidRPr="004C7A41" w:rsidRDefault="00F5108C" w:rsidP="00C93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C7A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3209" w:type="pct"/>
            <w:shd w:val="clear" w:color="auto" w:fill="auto"/>
          </w:tcPr>
          <w:p w14:paraId="1E3AB4B8" w14:textId="41F0DA78" w:rsidR="00F5108C" w:rsidRPr="00A13A25" w:rsidRDefault="00F5108C" w:rsidP="00C93337">
            <w:pPr>
              <w:pStyle w:val="1"/>
              <w:spacing w:line="276" w:lineRule="auto"/>
              <w:ind w:left="0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A13A25">
              <w:rPr>
                <w:rFonts w:eastAsia="Times New Roman"/>
                <w:sz w:val="22"/>
                <w:szCs w:val="22"/>
                <w:lang w:val="uk-UA"/>
              </w:rPr>
              <w:t>В бюджеті СМТГ на 2022 рік  були передбачені кошти для розвитку баскетболу в сумі 0,7 млн. грн, але не були використані у зв’язку з введенням воєнного стану в Україні.</w:t>
            </w:r>
          </w:p>
        </w:tc>
      </w:tr>
    </w:tbl>
    <w:p w14:paraId="6A6DA753" w14:textId="77777777" w:rsidR="00A527FF" w:rsidRPr="004C7A41" w:rsidRDefault="00A527FF" w:rsidP="003E6418">
      <w:pPr>
        <w:spacing w:after="0" w:line="240" w:lineRule="auto"/>
        <w:jc w:val="center"/>
        <w:rPr>
          <w:lang w:val="uk-UA"/>
        </w:rPr>
      </w:pPr>
    </w:p>
    <w:p w14:paraId="0BB90075" w14:textId="77777777" w:rsidR="007E66C1" w:rsidRPr="004C7A41" w:rsidRDefault="007E66C1" w:rsidP="003E6418">
      <w:pPr>
        <w:spacing w:after="0" w:line="240" w:lineRule="auto"/>
        <w:jc w:val="center"/>
        <w:rPr>
          <w:lang w:val="uk-UA"/>
        </w:rPr>
      </w:pPr>
    </w:p>
    <w:p w14:paraId="53535228" w14:textId="77777777" w:rsidR="007E66C1" w:rsidRPr="004C7A41" w:rsidRDefault="007E66C1" w:rsidP="003E6418">
      <w:pPr>
        <w:spacing w:after="0" w:line="240" w:lineRule="auto"/>
        <w:jc w:val="center"/>
        <w:rPr>
          <w:lang w:val="uk-UA"/>
        </w:rPr>
      </w:pPr>
    </w:p>
    <w:p w14:paraId="0864D8C8" w14:textId="33B2A30A" w:rsidR="00303566" w:rsidRPr="004C7A41" w:rsidRDefault="00303566" w:rsidP="008E0A55">
      <w:pPr>
        <w:rPr>
          <w:lang w:val="uk-UA"/>
        </w:rPr>
      </w:pPr>
    </w:p>
    <w:sectPr w:rsidR="00303566" w:rsidRPr="004C7A41" w:rsidSect="00A527FF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5125F" w14:textId="77777777" w:rsidR="00920D10" w:rsidRDefault="00920D10" w:rsidP="00941416">
      <w:pPr>
        <w:spacing w:after="0" w:line="240" w:lineRule="auto"/>
      </w:pPr>
      <w:r>
        <w:separator/>
      </w:r>
    </w:p>
  </w:endnote>
  <w:endnote w:type="continuationSeparator" w:id="0">
    <w:p w14:paraId="12613146" w14:textId="77777777" w:rsidR="00920D10" w:rsidRDefault="00920D10" w:rsidP="0094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127297"/>
      <w:docPartObj>
        <w:docPartGallery w:val="Page Numbers (Bottom of Page)"/>
        <w:docPartUnique/>
      </w:docPartObj>
    </w:sdtPr>
    <w:sdtEndPr/>
    <w:sdtContent>
      <w:p w14:paraId="51C0E1A4" w14:textId="141F51BB" w:rsidR="00AF2412" w:rsidRDefault="00AF241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F3D">
          <w:rPr>
            <w:noProof/>
          </w:rPr>
          <w:t>8</w:t>
        </w:r>
        <w:r>
          <w:fldChar w:fldCharType="end"/>
        </w:r>
      </w:p>
    </w:sdtContent>
  </w:sdt>
  <w:p w14:paraId="6F9D259F" w14:textId="77777777" w:rsidR="00AF2412" w:rsidRDefault="00AF24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287F0" w14:textId="77777777" w:rsidR="00920D10" w:rsidRDefault="00920D10" w:rsidP="00941416">
      <w:pPr>
        <w:spacing w:after="0" w:line="240" w:lineRule="auto"/>
      </w:pPr>
      <w:r>
        <w:separator/>
      </w:r>
    </w:p>
  </w:footnote>
  <w:footnote w:type="continuationSeparator" w:id="0">
    <w:p w14:paraId="200C2889" w14:textId="77777777" w:rsidR="00920D10" w:rsidRDefault="00920D10" w:rsidP="0094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41F5"/>
    <w:multiLevelType w:val="multilevel"/>
    <w:tmpl w:val="4E207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A957AF"/>
    <w:multiLevelType w:val="multilevel"/>
    <w:tmpl w:val="5FC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D03C76"/>
    <w:multiLevelType w:val="multilevel"/>
    <w:tmpl w:val="553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13"/>
    <w:rsid w:val="00003B7F"/>
    <w:rsid w:val="00004587"/>
    <w:rsid w:val="0000529F"/>
    <w:rsid w:val="00010BE6"/>
    <w:rsid w:val="00011432"/>
    <w:rsid w:val="0001168D"/>
    <w:rsid w:val="00011D68"/>
    <w:rsid w:val="00012FD7"/>
    <w:rsid w:val="0001318F"/>
    <w:rsid w:val="00013B1F"/>
    <w:rsid w:val="000160A7"/>
    <w:rsid w:val="000209E5"/>
    <w:rsid w:val="0002613C"/>
    <w:rsid w:val="0002733E"/>
    <w:rsid w:val="00027A8F"/>
    <w:rsid w:val="0003215E"/>
    <w:rsid w:val="00035432"/>
    <w:rsid w:val="00035A4C"/>
    <w:rsid w:val="00037229"/>
    <w:rsid w:val="00037F4D"/>
    <w:rsid w:val="0004435F"/>
    <w:rsid w:val="00046758"/>
    <w:rsid w:val="00046D53"/>
    <w:rsid w:val="000560E9"/>
    <w:rsid w:val="000568DB"/>
    <w:rsid w:val="00062B0D"/>
    <w:rsid w:val="000700B0"/>
    <w:rsid w:val="00072E7C"/>
    <w:rsid w:val="000910AB"/>
    <w:rsid w:val="00091111"/>
    <w:rsid w:val="0009116D"/>
    <w:rsid w:val="00094284"/>
    <w:rsid w:val="00095DB7"/>
    <w:rsid w:val="00096890"/>
    <w:rsid w:val="000B0DD4"/>
    <w:rsid w:val="000B1BF3"/>
    <w:rsid w:val="000B2FCE"/>
    <w:rsid w:val="000B30CD"/>
    <w:rsid w:val="000B4C23"/>
    <w:rsid w:val="000B6027"/>
    <w:rsid w:val="000C055F"/>
    <w:rsid w:val="000C3587"/>
    <w:rsid w:val="000D45AA"/>
    <w:rsid w:val="000D4F0D"/>
    <w:rsid w:val="000D721E"/>
    <w:rsid w:val="000D7951"/>
    <w:rsid w:val="000E1508"/>
    <w:rsid w:val="000E1AFC"/>
    <w:rsid w:val="000E2887"/>
    <w:rsid w:val="000E5009"/>
    <w:rsid w:val="000E6878"/>
    <w:rsid w:val="000E6B16"/>
    <w:rsid w:val="000F67B8"/>
    <w:rsid w:val="0010034E"/>
    <w:rsid w:val="00100FF6"/>
    <w:rsid w:val="001018FC"/>
    <w:rsid w:val="00102A81"/>
    <w:rsid w:val="0010488D"/>
    <w:rsid w:val="00104C5F"/>
    <w:rsid w:val="00105976"/>
    <w:rsid w:val="00105F98"/>
    <w:rsid w:val="00110565"/>
    <w:rsid w:val="00114A89"/>
    <w:rsid w:val="00114E1C"/>
    <w:rsid w:val="00117E60"/>
    <w:rsid w:val="0013129D"/>
    <w:rsid w:val="001402FF"/>
    <w:rsid w:val="00142479"/>
    <w:rsid w:val="00144223"/>
    <w:rsid w:val="0014618E"/>
    <w:rsid w:val="001467C9"/>
    <w:rsid w:val="0015317F"/>
    <w:rsid w:val="001539EB"/>
    <w:rsid w:val="00155F42"/>
    <w:rsid w:val="0016634D"/>
    <w:rsid w:val="001668E6"/>
    <w:rsid w:val="00166BD2"/>
    <w:rsid w:val="00176A6B"/>
    <w:rsid w:val="00177DCA"/>
    <w:rsid w:val="001814FC"/>
    <w:rsid w:val="00182AC6"/>
    <w:rsid w:val="00182DBC"/>
    <w:rsid w:val="00184475"/>
    <w:rsid w:val="00191E9A"/>
    <w:rsid w:val="00192892"/>
    <w:rsid w:val="00193715"/>
    <w:rsid w:val="00197429"/>
    <w:rsid w:val="001A0993"/>
    <w:rsid w:val="001B2B31"/>
    <w:rsid w:val="001B5CD8"/>
    <w:rsid w:val="001C192B"/>
    <w:rsid w:val="001C2833"/>
    <w:rsid w:val="001C4C6A"/>
    <w:rsid w:val="001C52DF"/>
    <w:rsid w:val="001D1361"/>
    <w:rsid w:val="001D2408"/>
    <w:rsid w:val="001D6DD0"/>
    <w:rsid w:val="001E3A51"/>
    <w:rsid w:val="001E6803"/>
    <w:rsid w:val="001E77D9"/>
    <w:rsid w:val="001F0151"/>
    <w:rsid w:val="001F6E73"/>
    <w:rsid w:val="001F7583"/>
    <w:rsid w:val="002014ED"/>
    <w:rsid w:val="00206F7B"/>
    <w:rsid w:val="00213A89"/>
    <w:rsid w:val="00213D33"/>
    <w:rsid w:val="00214041"/>
    <w:rsid w:val="00215216"/>
    <w:rsid w:val="00215641"/>
    <w:rsid w:val="00215E13"/>
    <w:rsid w:val="002212F7"/>
    <w:rsid w:val="002247FE"/>
    <w:rsid w:val="00226C49"/>
    <w:rsid w:val="0024027A"/>
    <w:rsid w:val="00242F1B"/>
    <w:rsid w:val="002444B0"/>
    <w:rsid w:val="00245C58"/>
    <w:rsid w:val="00246757"/>
    <w:rsid w:val="00247B5B"/>
    <w:rsid w:val="0025189C"/>
    <w:rsid w:val="00251DA7"/>
    <w:rsid w:val="0025294B"/>
    <w:rsid w:val="0025745D"/>
    <w:rsid w:val="00257D94"/>
    <w:rsid w:val="0026154A"/>
    <w:rsid w:val="00262A63"/>
    <w:rsid w:val="00263544"/>
    <w:rsid w:val="00265BBA"/>
    <w:rsid w:val="00266322"/>
    <w:rsid w:val="002663CE"/>
    <w:rsid w:val="00270BA5"/>
    <w:rsid w:val="00272B52"/>
    <w:rsid w:val="00283951"/>
    <w:rsid w:val="002951C6"/>
    <w:rsid w:val="00297FAD"/>
    <w:rsid w:val="002A1B85"/>
    <w:rsid w:val="002A374A"/>
    <w:rsid w:val="002A445B"/>
    <w:rsid w:val="002A5244"/>
    <w:rsid w:val="002A56CF"/>
    <w:rsid w:val="002A70FF"/>
    <w:rsid w:val="002A78CF"/>
    <w:rsid w:val="002B0A57"/>
    <w:rsid w:val="002B272C"/>
    <w:rsid w:val="002B32FC"/>
    <w:rsid w:val="002B392D"/>
    <w:rsid w:val="002C1B8F"/>
    <w:rsid w:val="002C2827"/>
    <w:rsid w:val="002C3AB6"/>
    <w:rsid w:val="002C5CB5"/>
    <w:rsid w:val="002C7F50"/>
    <w:rsid w:val="002D2831"/>
    <w:rsid w:val="002D62A8"/>
    <w:rsid w:val="002D6347"/>
    <w:rsid w:val="002E40DC"/>
    <w:rsid w:val="002E4D56"/>
    <w:rsid w:val="002E6E4F"/>
    <w:rsid w:val="002F0204"/>
    <w:rsid w:val="002F4282"/>
    <w:rsid w:val="003018DE"/>
    <w:rsid w:val="00302FCC"/>
    <w:rsid w:val="00303566"/>
    <w:rsid w:val="00307B7F"/>
    <w:rsid w:val="00310B5C"/>
    <w:rsid w:val="003134F5"/>
    <w:rsid w:val="0031551E"/>
    <w:rsid w:val="00321985"/>
    <w:rsid w:val="00322CB1"/>
    <w:rsid w:val="00323EB3"/>
    <w:rsid w:val="00324309"/>
    <w:rsid w:val="00333D5D"/>
    <w:rsid w:val="00335BE2"/>
    <w:rsid w:val="003405D8"/>
    <w:rsid w:val="00341C3D"/>
    <w:rsid w:val="003433A9"/>
    <w:rsid w:val="00345579"/>
    <w:rsid w:val="003507CD"/>
    <w:rsid w:val="00351958"/>
    <w:rsid w:val="00351971"/>
    <w:rsid w:val="00356BE5"/>
    <w:rsid w:val="00363DE0"/>
    <w:rsid w:val="00364738"/>
    <w:rsid w:val="003650E5"/>
    <w:rsid w:val="00365279"/>
    <w:rsid w:val="00366B71"/>
    <w:rsid w:val="00370DB4"/>
    <w:rsid w:val="00372FD5"/>
    <w:rsid w:val="0037535B"/>
    <w:rsid w:val="0037772E"/>
    <w:rsid w:val="003821F4"/>
    <w:rsid w:val="00384FB4"/>
    <w:rsid w:val="00387323"/>
    <w:rsid w:val="00391477"/>
    <w:rsid w:val="003923FA"/>
    <w:rsid w:val="0039522B"/>
    <w:rsid w:val="00397340"/>
    <w:rsid w:val="003A042D"/>
    <w:rsid w:val="003A6156"/>
    <w:rsid w:val="003B4A38"/>
    <w:rsid w:val="003C30E6"/>
    <w:rsid w:val="003C546C"/>
    <w:rsid w:val="003C74DC"/>
    <w:rsid w:val="003C7726"/>
    <w:rsid w:val="003D412F"/>
    <w:rsid w:val="003D639D"/>
    <w:rsid w:val="003E3330"/>
    <w:rsid w:val="003E41D0"/>
    <w:rsid w:val="003E47BC"/>
    <w:rsid w:val="003E47E7"/>
    <w:rsid w:val="003E6418"/>
    <w:rsid w:val="003F2237"/>
    <w:rsid w:val="003F75EB"/>
    <w:rsid w:val="0040019B"/>
    <w:rsid w:val="00401B21"/>
    <w:rsid w:val="00402F88"/>
    <w:rsid w:val="00405AC9"/>
    <w:rsid w:val="004130DD"/>
    <w:rsid w:val="00417A84"/>
    <w:rsid w:val="00420FBD"/>
    <w:rsid w:val="004220D7"/>
    <w:rsid w:val="00431B0C"/>
    <w:rsid w:val="00431E17"/>
    <w:rsid w:val="0043276A"/>
    <w:rsid w:val="0043322A"/>
    <w:rsid w:val="00433478"/>
    <w:rsid w:val="0043524C"/>
    <w:rsid w:val="00437D55"/>
    <w:rsid w:val="004401B8"/>
    <w:rsid w:val="00440602"/>
    <w:rsid w:val="00445C85"/>
    <w:rsid w:val="004479CC"/>
    <w:rsid w:val="00450473"/>
    <w:rsid w:val="00451386"/>
    <w:rsid w:val="00451C5E"/>
    <w:rsid w:val="00451EA2"/>
    <w:rsid w:val="00454225"/>
    <w:rsid w:val="004571C5"/>
    <w:rsid w:val="00461BCA"/>
    <w:rsid w:val="00462F3C"/>
    <w:rsid w:val="00467FD9"/>
    <w:rsid w:val="004700F3"/>
    <w:rsid w:val="004707BA"/>
    <w:rsid w:val="00477F23"/>
    <w:rsid w:val="00482102"/>
    <w:rsid w:val="004903F1"/>
    <w:rsid w:val="00491B7D"/>
    <w:rsid w:val="0049224F"/>
    <w:rsid w:val="004B1469"/>
    <w:rsid w:val="004B2149"/>
    <w:rsid w:val="004B3354"/>
    <w:rsid w:val="004B4F90"/>
    <w:rsid w:val="004B4FDB"/>
    <w:rsid w:val="004B62E0"/>
    <w:rsid w:val="004B79C6"/>
    <w:rsid w:val="004C269C"/>
    <w:rsid w:val="004C2FCC"/>
    <w:rsid w:val="004C45D1"/>
    <w:rsid w:val="004C6ADF"/>
    <w:rsid w:val="004C7A41"/>
    <w:rsid w:val="004D6999"/>
    <w:rsid w:val="004E160F"/>
    <w:rsid w:val="004E2E98"/>
    <w:rsid w:val="004E7D05"/>
    <w:rsid w:val="004F18A7"/>
    <w:rsid w:val="00502AA7"/>
    <w:rsid w:val="00504199"/>
    <w:rsid w:val="00505DC0"/>
    <w:rsid w:val="0050615F"/>
    <w:rsid w:val="00511D18"/>
    <w:rsid w:val="00512329"/>
    <w:rsid w:val="0051374D"/>
    <w:rsid w:val="00515395"/>
    <w:rsid w:val="005172EF"/>
    <w:rsid w:val="00520EE1"/>
    <w:rsid w:val="00521B0F"/>
    <w:rsid w:val="00522678"/>
    <w:rsid w:val="0052512B"/>
    <w:rsid w:val="005251D5"/>
    <w:rsid w:val="005263BB"/>
    <w:rsid w:val="005264F9"/>
    <w:rsid w:val="00534398"/>
    <w:rsid w:val="005346D8"/>
    <w:rsid w:val="0053499B"/>
    <w:rsid w:val="00534BE3"/>
    <w:rsid w:val="00534C6B"/>
    <w:rsid w:val="005355A1"/>
    <w:rsid w:val="00536FD9"/>
    <w:rsid w:val="0054211D"/>
    <w:rsid w:val="005442A4"/>
    <w:rsid w:val="00544B6B"/>
    <w:rsid w:val="00547B04"/>
    <w:rsid w:val="0055139D"/>
    <w:rsid w:val="0055636F"/>
    <w:rsid w:val="00557614"/>
    <w:rsid w:val="00560F66"/>
    <w:rsid w:val="00566B79"/>
    <w:rsid w:val="00581246"/>
    <w:rsid w:val="005812CD"/>
    <w:rsid w:val="00582E31"/>
    <w:rsid w:val="00587AAD"/>
    <w:rsid w:val="005909BA"/>
    <w:rsid w:val="005966A6"/>
    <w:rsid w:val="005A0C1D"/>
    <w:rsid w:val="005A4FAC"/>
    <w:rsid w:val="005A64B5"/>
    <w:rsid w:val="005B09EC"/>
    <w:rsid w:val="005B1317"/>
    <w:rsid w:val="005B46DA"/>
    <w:rsid w:val="005B64B7"/>
    <w:rsid w:val="005C605F"/>
    <w:rsid w:val="005C60A4"/>
    <w:rsid w:val="005C6C9F"/>
    <w:rsid w:val="005C7DC2"/>
    <w:rsid w:val="005D09F4"/>
    <w:rsid w:val="005D1EE7"/>
    <w:rsid w:val="005D4F4F"/>
    <w:rsid w:val="005D6AFB"/>
    <w:rsid w:val="005D7E80"/>
    <w:rsid w:val="005E1B32"/>
    <w:rsid w:val="005E678D"/>
    <w:rsid w:val="005E76DA"/>
    <w:rsid w:val="005E7919"/>
    <w:rsid w:val="005E79B7"/>
    <w:rsid w:val="005E7D3C"/>
    <w:rsid w:val="005F201D"/>
    <w:rsid w:val="005F2A2C"/>
    <w:rsid w:val="005F5293"/>
    <w:rsid w:val="005F5B71"/>
    <w:rsid w:val="00611DDA"/>
    <w:rsid w:val="006130C6"/>
    <w:rsid w:val="00613374"/>
    <w:rsid w:val="00613A0F"/>
    <w:rsid w:val="00613CF5"/>
    <w:rsid w:val="00615E52"/>
    <w:rsid w:val="00622B61"/>
    <w:rsid w:val="0062536B"/>
    <w:rsid w:val="00627C37"/>
    <w:rsid w:val="006342DB"/>
    <w:rsid w:val="006351E3"/>
    <w:rsid w:val="006403FC"/>
    <w:rsid w:val="00640EB3"/>
    <w:rsid w:val="00641315"/>
    <w:rsid w:val="00643F16"/>
    <w:rsid w:val="00644B33"/>
    <w:rsid w:val="0064579D"/>
    <w:rsid w:val="006468DC"/>
    <w:rsid w:val="00653D43"/>
    <w:rsid w:val="006550E4"/>
    <w:rsid w:val="00660C73"/>
    <w:rsid w:val="00660D0A"/>
    <w:rsid w:val="00661297"/>
    <w:rsid w:val="006619BE"/>
    <w:rsid w:val="00663880"/>
    <w:rsid w:val="006645C5"/>
    <w:rsid w:val="00664977"/>
    <w:rsid w:val="00672575"/>
    <w:rsid w:val="00672FEA"/>
    <w:rsid w:val="006760DE"/>
    <w:rsid w:val="00681BB7"/>
    <w:rsid w:val="00682D7C"/>
    <w:rsid w:val="00684285"/>
    <w:rsid w:val="00684D86"/>
    <w:rsid w:val="00695DBC"/>
    <w:rsid w:val="006A4898"/>
    <w:rsid w:val="006A4B82"/>
    <w:rsid w:val="006A769B"/>
    <w:rsid w:val="006B168A"/>
    <w:rsid w:val="006B3993"/>
    <w:rsid w:val="006B429B"/>
    <w:rsid w:val="006B7516"/>
    <w:rsid w:val="006C6C5A"/>
    <w:rsid w:val="006C7775"/>
    <w:rsid w:val="006C7BA6"/>
    <w:rsid w:val="006C7D9A"/>
    <w:rsid w:val="006D0B87"/>
    <w:rsid w:val="006D39B7"/>
    <w:rsid w:val="006D43CB"/>
    <w:rsid w:val="006D7DBC"/>
    <w:rsid w:val="006E0F33"/>
    <w:rsid w:val="006E1D9A"/>
    <w:rsid w:val="006E4B3D"/>
    <w:rsid w:val="006E7176"/>
    <w:rsid w:val="006F5FDE"/>
    <w:rsid w:val="006F723D"/>
    <w:rsid w:val="0070007B"/>
    <w:rsid w:val="00701107"/>
    <w:rsid w:val="0070197E"/>
    <w:rsid w:val="00705622"/>
    <w:rsid w:val="0070645B"/>
    <w:rsid w:val="0070688B"/>
    <w:rsid w:val="00706BF8"/>
    <w:rsid w:val="00712D02"/>
    <w:rsid w:val="0071317C"/>
    <w:rsid w:val="00713458"/>
    <w:rsid w:val="007153C2"/>
    <w:rsid w:val="007156A9"/>
    <w:rsid w:val="0073385C"/>
    <w:rsid w:val="00737FD7"/>
    <w:rsid w:val="007401BF"/>
    <w:rsid w:val="00740E2D"/>
    <w:rsid w:val="007432BF"/>
    <w:rsid w:val="0074367D"/>
    <w:rsid w:val="0074393B"/>
    <w:rsid w:val="00745743"/>
    <w:rsid w:val="00754794"/>
    <w:rsid w:val="00760DE3"/>
    <w:rsid w:val="00762AC4"/>
    <w:rsid w:val="007645EF"/>
    <w:rsid w:val="007653F9"/>
    <w:rsid w:val="00774283"/>
    <w:rsid w:val="00775CA6"/>
    <w:rsid w:val="0077753F"/>
    <w:rsid w:val="007816C3"/>
    <w:rsid w:val="0078307A"/>
    <w:rsid w:val="00783A79"/>
    <w:rsid w:val="00783AAB"/>
    <w:rsid w:val="007921EC"/>
    <w:rsid w:val="00792FAA"/>
    <w:rsid w:val="00795571"/>
    <w:rsid w:val="007A0E0B"/>
    <w:rsid w:val="007A1D83"/>
    <w:rsid w:val="007A2564"/>
    <w:rsid w:val="007A5B81"/>
    <w:rsid w:val="007B3B23"/>
    <w:rsid w:val="007B5FB2"/>
    <w:rsid w:val="007B61A6"/>
    <w:rsid w:val="007B6A94"/>
    <w:rsid w:val="007C1259"/>
    <w:rsid w:val="007D1A9C"/>
    <w:rsid w:val="007D28A3"/>
    <w:rsid w:val="007D329F"/>
    <w:rsid w:val="007D5988"/>
    <w:rsid w:val="007D6C52"/>
    <w:rsid w:val="007D7941"/>
    <w:rsid w:val="007E0B6D"/>
    <w:rsid w:val="007E6402"/>
    <w:rsid w:val="007E66C1"/>
    <w:rsid w:val="007E6E85"/>
    <w:rsid w:val="007F3A6B"/>
    <w:rsid w:val="007F548B"/>
    <w:rsid w:val="007F78BC"/>
    <w:rsid w:val="00801AB9"/>
    <w:rsid w:val="00803C47"/>
    <w:rsid w:val="00811B5E"/>
    <w:rsid w:val="00812A23"/>
    <w:rsid w:val="00816072"/>
    <w:rsid w:val="00821ED7"/>
    <w:rsid w:val="008227A2"/>
    <w:rsid w:val="008314B8"/>
    <w:rsid w:val="0083673A"/>
    <w:rsid w:val="00840D64"/>
    <w:rsid w:val="0084118B"/>
    <w:rsid w:val="00846D34"/>
    <w:rsid w:val="00852F66"/>
    <w:rsid w:val="00862B03"/>
    <w:rsid w:val="00866618"/>
    <w:rsid w:val="00866927"/>
    <w:rsid w:val="00873026"/>
    <w:rsid w:val="00873399"/>
    <w:rsid w:val="00883674"/>
    <w:rsid w:val="0088688B"/>
    <w:rsid w:val="00886E84"/>
    <w:rsid w:val="00891CFF"/>
    <w:rsid w:val="00892CC4"/>
    <w:rsid w:val="008932A6"/>
    <w:rsid w:val="008A54DD"/>
    <w:rsid w:val="008A6D76"/>
    <w:rsid w:val="008B00DE"/>
    <w:rsid w:val="008B1E42"/>
    <w:rsid w:val="008B608D"/>
    <w:rsid w:val="008B7BB2"/>
    <w:rsid w:val="008C1D11"/>
    <w:rsid w:val="008C62B8"/>
    <w:rsid w:val="008D04E1"/>
    <w:rsid w:val="008D27BF"/>
    <w:rsid w:val="008D744A"/>
    <w:rsid w:val="008E05EC"/>
    <w:rsid w:val="008E075D"/>
    <w:rsid w:val="008E0A55"/>
    <w:rsid w:val="008E3AEA"/>
    <w:rsid w:val="008E4896"/>
    <w:rsid w:val="008E55FA"/>
    <w:rsid w:val="008E6D2C"/>
    <w:rsid w:val="008F24A0"/>
    <w:rsid w:val="008F701A"/>
    <w:rsid w:val="009060A6"/>
    <w:rsid w:val="009123A8"/>
    <w:rsid w:val="00920D10"/>
    <w:rsid w:val="009300E8"/>
    <w:rsid w:val="00930DE7"/>
    <w:rsid w:val="00932293"/>
    <w:rsid w:val="009333D8"/>
    <w:rsid w:val="009341BF"/>
    <w:rsid w:val="009350C9"/>
    <w:rsid w:val="00935F3D"/>
    <w:rsid w:val="00937DA3"/>
    <w:rsid w:val="00941416"/>
    <w:rsid w:val="00945542"/>
    <w:rsid w:val="009471F8"/>
    <w:rsid w:val="00962AAD"/>
    <w:rsid w:val="0096546B"/>
    <w:rsid w:val="00965A6F"/>
    <w:rsid w:val="00970239"/>
    <w:rsid w:val="00970420"/>
    <w:rsid w:val="00972667"/>
    <w:rsid w:val="00972D50"/>
    <w:rsid w:val="00980301"/>
    <w:rsid w:val="00980BA4"/>
    <w:rsid w:val="0098180C"/>
    <w:rsid w:val="00984647"/>
    <w:rsid w:val="009915C5"/>
    <w:rsid w:val="00991DB9"/>
    <w:rsid w:val="00995996"/>
    <w:rsid w:val="009A1CF4"/>
    <w:rsid w:val="009A2F2B"/>
    <w:rsid w:val="009A6987"/>
    <w:rsid w:val="009A7E4D"/>
    <w:rsid w:val="009B1145"/>
    <w:rsid w:val="009B1EA5"/>
    <w:rsid w:val="009B4A0A"/>
    <w:rsid w:val="009C0B5E"/>
    <w:rsid w:val="009C1FF1"/>
    <w:rsid w:val="009C36A2"/>
    <w:rsid w:val="009C3859"/>
    <w:rsid w:val="009C7906"/>
    <w:rsid w:val="009D2260"/>
    <w:rsid w:val="009D2A18"/>
    <w:rsid w:val="009D47F2"/>
    <w:rsid w:val="009D586E"/>
    <w:rsid w:val="009D5E73"/>
    <w:rsid w:val="009D6856"/>
    <w:rsid w:val="009D6FC0"/>
    <w:rsid w:val="009E0CEC"/>
    <w:rsid w:val="009E0FDB"/>
    <w:rsid w:val="009E4EC9"/>
    <w:rsid w:val="009F2603"/>
    <w:rsid w:val="009F4C14"/>
    <w:rsid w:val="00A00F73"/>
    <w:rsid w:val="00A01CD0"/>
    <w:rsid w:val="00A04191"/>
    <w:rsid w:val="00A066AE"/>
    <w:rsid w:val="00A12ABA"/>
    <w:rsid w:val="00A13A25"/>
    <w:rsid w:val="00A17634"/>
    <w:rsid w:val="00A234DC"/>
    <w:rsid w:val="00A24EFB"/>
    <w:rsid w:val="00A2534F"/>
    <w:rsid w:val="00A259DA"/>
    <w:rsid w:val="00A31266"/>
    <w:rsid w:val="00A363E8"/>
    <w:rsid w:val="00A36B88"/>
    <w:rsid w:val="00A36D38"/>
    <w:rsid w:val="00A400A6"/>
    <w:rsid w:val="00A409E7"/>
    <w:rsid w:val="00A44C1D"/>
    <w:rsid w:val="00A45BF5"/>
    <w:rsid w:val="00A50D5F"/>
    <w:rsid w:val="00A51F8C"/>
    <w:rsid w:val="00A527FF"/>
    <w:rsid w:val="00A54D98"/>
    <w:rsid w:val="00A56D36"/>
    <w:rsid w:val="00A5732F"/>
    <w:rsid w:val="00A619F6"/>
    <w:rsid w:val="00A63E78"/>
    <w:rsid w:val="00A668F9"/>
    <w:rsid w:val="00A72974"/>
    <w:rsid w:val="00A7599E"/>
    <w:rsid w:val="00A818F9"/>
    <w:rsid w:val="00A835E4"/>
    <w:rsid w:val="00A86EE4"/>
    <w:rsid w:val="00A9036E"/>
    <w:rsid w:val="00A92FC7"/>
    <w:rsid w:val="00AA5FB0"/>
    <w:rsid w:val="00AB3BE5"/>
    <w:rsid w:val="00AC1CA0"/>
    <w:rsid w:val="00AC322F"/>
    <w:rsid w:val="00AC4CBD"/>
    <w:rsid w:val="00AD49A4"/>
    <w:rsid w:val="00AD521E"/>
    <w:rsid w:val="00AE0F44"/>
    <w:rsid w:val="00AE3324"/>
    <w:rsid w:val="00AE54B2"/>
    <w:rsid w:val="00AE5ADF"/>
    <w:rsid w:val="00AE6C73"/>
    <w:rsid w:val="00AE759A"/>
    <w:rsid w:val="00AF2412"/>
    <w:rsid w:val="00AF2ADA"/>
    <w:rsid w:val="00B00893"/>
    <w:rsid w:val="00B12439"/>
    <w:rsid w:val="00B133AA"/>
    <w:rsid w:val="00B170C6"/>
    <w:rsid w:val="00B1795D"/>
    <w:rsid w:val="00B17C83"/>
    <w:rsid w:val="00B2092F"/>
    <w:rsid w:val="00B235DB"/>
    <w:rsid w:val="00B23A92"/>
    <w:rsid w:val="00B2724D"/>
    <w:rsid w:val="00B3086B"/>
    <w:rsid w:val="00B3286E"/>
    <w:rsid w:val="00B3537D"/>
    <w:rsid w:val="00B42518"/>
    <w:rsid w:val="00B47A05"/>
    <w:rsid w:val="00B505C5"/>
    <w:rsid w:val="00B52CC4"/>
    <w:rsid w:val="00B56490"/>
    <w:rsid w:val="00B60E45"/>
    <w:rsid w:val="00B63D8D"/>
    <w:rsid w:val="00B70D15"/>
    <w:rsid w:val="00B76B5D"/>
    <w:rsid w:val="00B77A77"/>
    <w:rsid w:val="00B81D45"/>
    <w:rsid w:val="00B82BC5"/>
    <w:rsid w:val="00B8326C"/>
    <w:rsid w:val="00B86931"/>
    <w:rsid w:val="00B97D7A"/>
    <w:rsid w:val="00BA651B"/>
    <w:rsid w:val="00BB2517"/>
    <w:rsid w:val="00BB56F3"/>
    <w:rsid w:val="00BB79C9"/>
    <w:rsid w:val="00BB7C4F"/>
    <w:rsid w:val="00BC0D92"/>
    <w:rsid w:val="00BC1A7D"/>
    <w:rsid w:val="00BD197F"/>
    <w:rsid w:val="00BD4C4F"/>
    <w:rsid w:val="00BD50C9"/>
    <w:rsid w:val="00BD5967"/>
    <w:rsid w:val="00BE0D9A"/>
    <w:rsid w:val="00BE110E"/>
    <w:rsid w:val="00BE1706"/>
    <w:rsid w:val="00BE19D1"/>
    <w:rsid w:val="00BE2011"/>
    <w:rsid w:val="00BF015C"/>
    <w:rsid w:val="00BF293F"/>
    <w:rsid w:val="00BF4307"/>
    <w:rsid w:val="00BF601C"/>
    <w:rsid w:val="00BF6A8B"/>
    <w:rsid w:val="00BF788F"/>
    <w:rsid w:val="00C003EF"/>
    <w:rsid w:val="00C01968"/>
    <w:rsid w:val="00C01FE3"/>
    <w:rsid w:val="00C05107"/>
    <w:rsid w:val="00C052C6"/>
    <w:rsid w:val="00C11AA5"/>
    <w:rsid w:val="00C11DE4"/>
    <w:rsid w:val="00C11EEA"/>
    <w:rsid w:val="00C12C91"/>
    <w:rsid w:val="00C14851"/>
    <w:rsid w:val="00C14FE6"/>
    <w:rsid w:val="00C15CB6"/>
    <w:rsid w:val="00C16D44"/>
    <w:rsid w:val="00C24F70"/>
    <w:rsid w:val="00C3211C"/>
    <w:rsid w:val="00C34855"/>
    <w:rsid w:val="00C3635E"/>
    <w:rsid w:val="00C37AD3"/>
    <w:rsid w:val="00C423A3"/>
    <w:rsid w:val="00C434D6"/>
    <w:rsid w:val="00C437B2"/>
    <w:rsid w:val="00C46D49"/>
    <w:rsid w:val="00C46E90"/>
    <w:rsid w:val="00C51EBE"/>
    <w:rsid w:val="00C55C97"/>
    <w:rsid w:val="00C60C34"/>
    <w:rsid w:val="00C62FC7"/>
    <w:rsid w:val="00C636A5"/>
    <w:rsid w:val="00C647C4"/>
    <w:rsid w:val="00C72809"/>
    <w:rsid w:val="00C75DDF"/>
    <w:rsid w:val="00C77269"/>
    <w:rsid w:val="00C81C9B"/>
    <w:rsid w:val="00C83509"/>
    <w:rsid w:val="00C8391C"/>
    <w:rsid w:val="00C83A88"/>
    <w:rsid w:val="00C84AA9"/>
    <w:rsid w:val="00C8582D"/>
    <w:rsid w:val="00C864D0"/>
    <w:rsid w:val="00C91D01"/>
    <w:rsid w:val="00C93337"/>
    <w:rsid w:val="00C944FE"/>
    <w:rsid w:val="00CA136C"/>
    <w:rsid w:val="00CA2F27"/>
    <w:rsid w:val="00CA42B9"/>
    <w:rsid w:val="00CA49E8"/>
    <w:rsid w:val="00CA6E4C"/>
    <w:rsid w:val="00CB5FF6"/>
    <w:rsid w:val="00CB69AE"/>
    <w:rsid w:val="00CC0004"/>
    <w:rsid w:val="00CC07FF"/>
    <w:rsid w:val="00CC0C7F"/>
    <w:rsid w:val="00CC274D"/>
    <w:rsid w:val="00CC3F99"/>
    <w:rsid w:val="00CD6CAD"/>
    <w:rsid w:val="00CE11C0"/>
    <w:rsid w:val="00CE243E"/>
    <w:rsid w:val="00CE5891"/>
    <w:rsid w:val="00CF1871"/>
    <w:rsid w:val="00CF2A99"/>
    <w:rsid w:val="00CF2D4A"/>
    <w:rsid w:val="00CF4A45"/>
    <w:rsid w:val="00CF6571"/>
    <w:rsid w:val="00D00721"/>
    <w:rsid w:val="00D03EED"/>
    <w:rsid w:val="00D04F18"/>
    <w:rsid w:val="00D0576F"/>
    <w:rsid w:val="00D11E1C"/>
    <w:rsid w:val="00D12DAF"/>
    <w:rsid w:val="00D13B36"/>
    <w:rsid w:val="00D16E38"/>
    <w:rsid w:val="00D17FE4"/>
    <w:rsid w:val="00D22C57"/>
    <w:rsid w:val="00D23E6F"/>
    <w:rsid w:val="00D272FA"/>
    <w:rsid w:val="00D312C4"/>
    <w:rsid w:val="00D32868"/>
    <w:rsid w:val="00D34C84"/>
    <w:rsid w:val="00D35DB2"/>
    <w:rsid w:val="00D40A54"/>
    <w:rsid w:val="00D43077"/>
    <w:rsid w:val="00D43A87"/>
    <w:rsid w:val="00D505D8"/>
    <w:rsid w:val="00D525D8"/>
    <w:rsid w:val="00D5525C"/>
    <w:rsid w:val="00D568E4"/>
    <w:rsid w:val="00D57064"/>
    <w:rsid w:val="00D5721B"/>
    <w:rsid w:val="00D605AB"/>
    <w:rsid w:val="00D71C78"/>
    <w:rsid w:val="00D72FA4"/>
    <w:rsid w:val="00D75B95"/>
    <w:rsid w:val="00D766C7"/>
    <w:rsid w:val="00D77C1E"/>
    <w:rsid w:val="00D80C6F"/>
    <w:rsid w:val="00D824CC"/>
    <w:rsid w:val="00D837F2"/>
    <w:rsid w:val="00D876A0"/>
    <w:rsid w:val="00D933E9"/>
    <w:rsid w:val="00D94A6B"/>
    <w:rsid w:val="00D9785A"/>
    <w:rsid w:val="00DA16D2"/>
    <w:rsid w:val="00DA38B7"/>
    <w:rsid w:val="00DA52CB"/>
    <w:rsid w:val="00DA5E69"/>
    <w:rsid w:val="00DA6180"/>
    <w:rsid w:val="00DB227B"/>
    <w:rsid w:val="00DB475C"/>
    <w:rsid w:val="00DB636E"/>
    <w:rsid w:val="00DC232D"/>
    <w:rsid w:val="00DC2811"/>
    <w:rsid w:val="00DD0972"/>
    <w:rsid w:val="00DD1256"/>
    <w:rsid w:val="00DD2B7B"/>
    <w:rsid w:val="00DD32CF"/>
    <w:rsid w:val="00DD43D7"/>
    <w:rsid w:val="00DD7187"/>
    <w:rsid w:val="00DE297E"/>
    <w:rsid w:val="00DE4C53"/>
    <w:rsid w:val="00DE7CA3"/>
    <w:rsid w:val="00DF0A1B"/>
    <w:rsid w:val="00DF0A91"/>
    <w:rsid w:val="00DF217B"/>
    <w:rsid w:val="00DF379D"/>
    <w:rsid w:val="00DF4B0A"/>
    <w:rsid w:val="00E02C61"/>
    <w:rsid w:val="00E03330"/>
    <w:rsid w:val="00E0467B"/>
    <w:rsid w:val="00E046DB"/>
    <w:rsid w:val="00E061A0"/>
    <w:rsid w:val="00E12B82"/>
    <w:rsid w:val="00E14D76"/>
    <w:rsid w:val="00E15FD3"/>
    <w:rsid w:val="00E214AF"/>
    <w:rsid w:val="00E245F3"/>
    <w:rsid w:val="00E33591"/>
    <w:rsid w:val="00E33B24"/>
    <w:rsid w:val="00E351EA"/>
    <w:rsid w:val="00E42608"/>
    <w:rsid w:val="00E477B9"/>
    <w:rsid w:val="00E50BA0"/>
    <w:rsid w:val="00E51FE7"/>
    <w:rsid w:val="00E63A67"/>
    <w:rsid w:val="00E66B5E"/>
    <w:rsid w:val="00E67681"/>
    <w:rsid w:val="00E72C75"/>
    <w:rsid w:val="00E85CD2"/>
    <w:rsid w:val="00E928BA"/>
    <w:rsid w:val="00E957DA"/>
    <w:rsid w:val="00E95857"/>
    <w:rsid w:val="00E975E8"/>
    <w:rsid w:val="00EA32FC"/>
    <w:rsid w:val="00EA5C6C"/>
    <w:rsid w:val="00EB5862"/>
    <w:rsid w:val="00EB762F"/>
    <w:rsid w:val="00EC4469"/>
    <w:rsid w:val="00EC7BDD"/>
    <w:rsid w:val="00EE0F54"/>
    <w:rsid w:val="00EE2369"/>
    <w:rsid w:val="00EE3C1B"/>
    <w:rsid w:val="00EF006B"/>
    <w:rsid w:val="00EF11E8"/>
    <w:rsid w:val="00EF3768"/>
    <w:rsid w:val="00EF3ACC"/>
    <w:rsid w:val="00EF4004"/>
    <w:rsid w:val="00EF5A85"/>
    <w:rsid w:val="00F00B0B"/>
    <w:rsid w:val="00F00D70"/>
    <w:rsid w:val="00F11199"/>
    <w:rsid w:val="00F111E2"/>
    <w:rsid w:val="00F11317"/>
    <w:rsid w:val="00F13398"/>
    <w:rsid w:val="00F16BF9"/>
    <w:rsid w:val="00F20B1C"/>
    <w:rsid w:val="00F22E1E"/>
    <w:rsid w:val="00F244C0"/>
    <w:rsid w:val="00F254BB"/>
    <w:rsid w:val="00F32D8B"/>
    <w:rsid w:val="00F33CFE"/>
    <w:rsid w:val="00F367F4"/>
    <w:rsid w:val="00F36C69"/>
    <w:rsid w:val="00F40713"/>
    <w:rsid w:val="00F4199D"/>
    <w:rsid w:val="00F43408"/>
    <w:rsid w:val="00F47F03"/>
    <w:rsid w:val="00F5108C"/>
    <w:rsid w:val="00F53A6E"/>
    <w:rsid w:val="00F54F23"/>
    <w:rsid w:val="00F57834"/>
    <w:rsid w:val="00F57E13"/>
    <w:rsid w:val="00F624AA"/>
    <w:rsid w:val="00F70BF7"/>
    <w:rsid w:val="00F7237B"/>
    <w:rsid w:val="00F7488D"/>
    <w:rsid w:val="00F75C47"/>
    <w:rsid w:val="00F7663C"/>
    <w:rsid w:val="00F8190A"/>
    <w:rsid w:val="00F8231F"/>
    <w:rsid w:val="00F84B57"/>
    <w:rsid w:val="00F84E47"/>
    <w:rsid w:val="00F8639B"/>
    <w:rsid w:val="00F87518"/>
    <w:rsid w:val="00F87B0D"/>
    <w:rsid w:val="00F922E6"/>
    <w:rsid w:val="00FA3841"/>
    <w:rsid w:val="00FA7903"/>
    <w:rsid w:val="00FB246D"/>
    <w:rsid w:val="00FB3876"/>
    <w:rsid w:val="00FB54BA"/>
    <w:rsid w:val="00FB6238"/>
    <w:rsid w:val="00FB629E"/>
    <w:rsid w:val="00FB659F"/>
    <w:rsid w:val="00FC4CD9"/>
    <w:rsid w:val="00FC518B"/>
    <w:rsid w:val="00FC6F33"/>
    <w:rsid w:val="00FD0618"/>
    <w:rsid w:val="00FD1986"/>
    <w:rsid w:val="00FD341A"/>
    <w:rsid w:val="00FD5173"/>
    <w:rsid w:val="00FD5D0D"/>
    <w:rsid w:val="00FD7522"/>
    <w:rsid w:val="00FE22A1"/>
    <w:rsid w:val="00FF374B"/>
    <w:rsid w:val="00FF3BAF"/>
    <w:rsid w:val="00FF4B8F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ED917"/>
  <w15:chartTrackingRefBased/>
  <w15:docId w15:val="{C6F7D789-59E7-4463-9AE0-27619A7D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2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663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6322"/>
    <w:rPr>
      <w:color w:val="800080"/>
      <w:u w:val="single"/>
    </w:rPr>
  </w:style>
  <w:style w:type="paragraph" w:customStyle="1" w:styleId="msonormal0">
    <w:name w:val="msonormal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6">
    <w:name w:val="font6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font7">
    <w:name w:val="font7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4">
    <w:name w:val="xl12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2D0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1416"/>
  </w:style>
  <w:style w:type="paragraph" w:styleId="aa">
    <w:name w:val="footer"/>
    <w:basedOn w:val="a"/>
    <w:link w:val="ab"/>
    <w:uiPriority w:val="99"/>
    <w:unhideWhenUsed/>
    <w:rsid w:val="0094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1416"/>
  </w:style>
  <w:style w:type="paragraph" w:customStyle="1" w:styleId="Default">
    <w:name w:val="Default"/>
    <w:rsid w:val="001B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4B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9694,baiaagaaboqcaaadssmaaaw/iwaaaaaaaaaaaaaaaaaaaaaaaaaaaaaaaaaaaaaaaaaaaaaaaaaaaaaaaaaaaaaaaaaaaaaaaaaaaaaaaaaaaaaaaaaaaaaaaaaaaaaaaaaaaaaaaaaaaaaaaaaaaaaaaaaaaaaaaaaaaaaaaaaaaaaaaaaaaaaaaaaaaaaaaaaaaaaaaaaaaaaaaaaaaaaaaaaaaaaaaaaaaaaa"/>
    <w:basedOn w:val="a"/>
    <w:rsid w:val="00A4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A45B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88">
    <w:name w:val="2488"/>
    <w:aliases w:val="baiaagaaboqcaaad8qcaaax/bwaaaaaaaaaaaaaaaaaaaaaaaaaaaaaaaaaaaaaaaaaaaaaaaaaaaaaaaaaaaaaaaaaaaaaaaaaaaaaaaaaaaaaaaaaaaaaaaaaaaaaaaaaaaaaaaaaaaaaaaaaaaaaaaaaaaaaaaaaaaaaaaaaaaaaaaaaaaaaaaaaaaaaaaaaaaaaaaaaaaaaaaaaaaaaaaaaaaaaaaaaaaaaa"/>
    <w:rsid w:val="00A45BF5"/>
  </w:style>
  <w:style w:type="character" w:styleId="ad">
    <w:name w:val="Strong"/>
    <w:uiPriority w:val="22"/>
    <w:qFormat/>
    <w:rsid w:val="005C6C9F"/>
    <w:rPr>
      <w:b/>
      <w:bCs/>
    </w:rPr>
  </w:style>
  <w:style w:type="character" w:customStyle="1" w:styleId="2135">
    <w:name w:val="2135"/>
    <w:aliases w:val="baiaagaaboqcaaadigqaaauwbaaaaaaaaaaaaaaaaaaaaaaaaaaaaaaaaaaaaaaaaaaaaaaaaaaaaaaaaaaaaaaaaaaaaaaaaaaaaaaaaaaaaaaaaaaaaaaaaaaaaaaaaaaaaaaaaaaaaaaaaaaaaaaaaaaaaaaaaaaaaaaaaaaaaaaaaaaaaaaaaaaaaaaaaaaaaaaaaaaaaaaaaaaaaaaaaaaaaaaaaaaaaaaa"/>
    <w:rsid w:val="005C60A4"/>
  </w:style>
  <w:style w:type="table" w:styleId="ae">
    <w:name w:val="Table Grid"/>
    <w:basedOn w:val="a1"/>
    <w:uiPriority w:val="39"/>
    <w:rsid w:val="002F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"/>
    <w:basedOn w:val="a"/>
    <w:rsid w:val="00BE0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348">
          <w:marLeft w:val="60"/>
          <w:marRight w:val="6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2058-E84B-4635-9857-7375FB89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 Олексій Володимирович</dc:creator>
  <cp:keywords/>
  <dc:description/>
  <cp:lastModifiedBy>Войтенко Cвітлана Олексіївна</cp:lastModifiedBy>
  <cp:revision>114</cp:revision>
  <cp:lastPrinted>2023-03-01T14:30:00Z</cp:lastPrinted>
  <dcterms:created xsi:type="dcterms:W3CDTF">2022-09-20T08:50:00Z</dcterms:created>
  <dcterms:modified xsi:type="dcterms:W3CDTF">2023-03-02T14:01:00Z</dcterms:modified>
</cp:coreProperties>
</file>