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24" w:space="0" w:color="A6A6A6"/>
        </w:tblBorders>
        <w:tblLook w:val="04A0" w:firstRow="1" w:lastRow="0" w:firstColumn="1" w:lastColumn="0" w:noHBand="0" w:noVBand="1"/>
      </w:tblPr>
      <w:tblGrid>
        <w:gridCol w:w="10631"/>
      </w:tblGrid>
      <w:tr w:rsidR="00B64E85" w:rsidRPr="0032699A" w:rsidTr="00B64E85">
        <w:trPr>
          <w:trHeight w:val="1280"/>
        </w:trPr>
        <w:tc>
          <w:tcPr>
            <w:tcW w:w="5000" w:type="pct"/>
            <w:tcBorders>
              <w:top w:val="nil"/>
              <w:left w:val="nil"/>
              <w:bottom w:val="single" w:sz="24" w:space="0" w:color="A6A6A6"/>
              <w:right w:val="nil"/>
            </w:tcBorders>
            <w:hideMark/>
          </w:tcPr>
          <w:p w:rsidR="00B64E85" w:rsidRPr="0032699A" w:rsidRDefault="00B64E85">
            <w:pPr>
              <w:spacing w:before="120" w:after="120"/>
              <w:jc w:val="center"/>
              <w:rPr>
                <w:rFonts w:ascii="Arial" w:hAnsi="Arial" w:cs="Arial"/>
                <w:b/>
                <w:color w:val="969696"/>
                <w:sz w:val="40"/>
                <w:szCs w:val="40"/>
              </w:rPr>
            </w:pPr>
            <w:r w:rsidRPr="0032699A">
              <w:rPr>
                <w:rFonts w:ascii="Arial" w:hAnsi="Arial" w:cs="Arial"/>
                <w:b/>
                <w:noProof/>
                <w:color w:val="969696"/>
                <w:sz w:val="40"/>
                <w:szCs w:val="40"/>
                <w:lang w:eastAsia="ru-RU"/>
              </w:rPr>
              <w:drawing>
                <wp:inline distT="0" distB="0" distL="0" distR="0">
                  <wp:extent cx="2311400" cy="358140"/>
                  <wp:effectExtent l="0" t="0" r="0" b="3810"/>
                  <wp:docPr id="1" name="Рисунок 1" descr="logoIBIRating_newlight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BIRating_newlight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E85" w:rsidRPr="0032699A" w:rsidRDefault="002613D2">
            <w:pPr>
              <w:spacing w:before="120" w:after="120"/>
              <w:jc w:val="center"/>
              <w:rPr>
                <w:rFonts w:ascii="Arial" w:hAnsi="Arial" w:cs="Arial"/>
                <w:b/>
                <w:color w:val="969696"/>
                <w:sz w:val="40"/>
                <w:szCs w:val="40"/>
              </w:rPr>
            </w:pPr>
            <w:r w:rsidRPr="0032699A">
              <w:rPr>
                <w:rFonts w:ascii="Arial" w:hAnsi="Arial" w:cs="Arial"/>
                <w:b/>
                <w:bCs/>
                <w:caps/>
                <w:color w:val="003366"/>
                <w:sz w:val="24"/>
                <w:szCs w:val="24"/>
                <w:lang w:eastAsia="uk-UA"/>
              </w:rPr>
              <w:t>ПРЕСС-РЕЛИЗ</w:t>
            </w:r>
          </w:p>
        </w:tc>
      </w:tr>
    </w:tbl>
    <w:p w:rsidR="00B64E85" w:rsidRPr="0032699A" w:rsidRDefault="00B64E85" w:rsidP="00AD115D">
      <w:pPr>
        <w:pStyle w:val="a3"/>
        <w:ind w:firstLine="567"/>
        <w:rPr>
          <w:sz w:val="20"/>
          <w:lang w:val="ru-RU"/>
        </w:rPr>
      </w:pPr>
    </w:p>
    <w:p w:rsidR="00B64E85" w:rsidRPr="0032699A" w:rsidRDefault="00B64E85" w:rsidP="00AD115D">
      <w:pPr>
        <w:shd w:val="clear" w:color="auto" w:fill="FFFFFF"/>
        <w:spacing w:after="120" w:line="240" w:lineRule="auto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</w:pPr>
      <w:r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>IBI-</w:t>
      </w:r>
      <w:proofErr w:type="spellStart"/>
      <w:r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>Rating</w:t>
      </w:r>
      <w:proofErr w:type="spellEnd"/>
      <w:r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 xml:space="preserve"> </w:t>
      </w:r>
      <w:r w:rsidR="0032699A"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>подтвердило</w:t>
      </w:r>
      <w:r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 xml:space="preserve"> кредитн</w:t>
      </w:r>
      <w:r w:rsidR="0032699A"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>ы</w:t>
      </w:r>
      <w:r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 xml:space="preserve">й рейтинг </w:t>
      </w:r>
      <w:r w:rsidR="0032699A"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>и</w:t>
      </w:r>
      <w:r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 xml:space="preserve"> рейтинг </w:t>
      </w:r>
      <w:r w:rsidR="0032699A"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>инвестиционной</w:t>
      </w:r>
      <w:r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 xml:space="preserve"> прив</w:t>
      </w:r>
      <w:r w:rsidR="0032699A"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>лекательности</w:t>
      </w:r>
      <w:r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 xml:space="preserve"> </w:t>
      </w:r>
      <w:r w:rsidR="0032699A"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>города</w:t>
      </w:r>
      <w:r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 xml:space="preserve"> Сум</w:t>
      </w:r>
      <w:r w:rsidR="0032699A" w:rsidRPr="0032699A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eastAsia="ru-RU"/>
        </w:rPr>
        <w:t>ы</w:t>
      </w:r>
    </w:p>
    <w:p w:rsidR="009952FB" w:rsidRDefault="0032699A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32699A">
        <w:rPr>
          <w:rFonts w:ascii="Arial" w:hAnsi="Arial" w:cs="Arial"/>
          <w:color w:val="1F1F1F"/>
          <w:sz w:val="20"/>
          <w:szCs w:val="20"/>
          <w:shd w:val="clear" w:color="auto" w:fill="FFFFFF"/>
        </w:rPr>
        <w:t>Национальное рейтинговое агентство ІВІ-</w:t>
      </w:r>
      <w:proofErr w:type="spellStart"/>
      <w:r w:rsidRPr="0032699A">
        <w:rPr>
          <w:rFonts w:ascii="Arial" w:hAnsi="Arial" w:cs="Arial"/>
          <w:color w:val="1F1F1F"/>
          <w:sz w:val="20"/>
          <w:szCs w:val="20"/>
          <w:shd w:val="clear" w:color="auto" w:fill="FFFFFF"/>
        </w:rPr>
        <w:t>Rating</w:t>
      </w:r>
      <w:proofErr w:type="spellEnd"/>
      <w:r w:rsidRPr="0032699A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сообщает о подтверждении кредитного рейтинга г. Сумы на уровне </w:t>
      </w:r>
      <w:proofErr w:type="spellStart"/>
      <w:r w:rsidRPr="0032699A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eastAsia="ru-RU"/>
        </w:rPr>
        <w:t>uaА</w:t>
      </w:r>
      <w:proofErr w:type="spellEnd"/>
      <w:r w:rsidRPr="0032699A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eastAsia="ru-RU"/>
        </w:rPr>
        <w:t>-</w:t>
      </w:r>
      <w:r w:rsidRPr="0032699A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с прогнозом </w:t>
      </w:r>
      <w:r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eastAsia="ru-RU"/>
        </w:rPr>
        <w:t>«стабильный»</w:t>
      </w:r>
      <w:r w:rsidRPr="0032699A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, а также рейтинга инвестиционной привлекательности на уровне </w:t>
      </w:r>
      <w:proofErr w:type="spellStart"/>
      <w:r w:rsidRPr="0032699A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eastAsia="ru-RU"/>
        </w:rPr>
        <w:t>invА</w:t>
      </w:r>
      <w:proofErr w:type="spellEnd"/>
      <w:r w:rsidRPr="0032699A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eastAsia="ru-RU"/>
        </w:rPr>
        <w:t>-</w:t>
      </w:r>
      <w:r w:rsidR="009952FB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eastAsia="ru-RU"/>
        </w:rPr>
        <w:t>.</w:t>
      </w:r>
    </w:p>
    <w:p w:rsidR="0032699A" w:rsidRPr="009952FB" w:rsidRDefault="0032699A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hAnsi="Arial" w:cs="Arial"/>
          <w:b/>
          <w:bCs/>
          <w:color w:val="225171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6"/>
          <w:rFonts w:ascii="Arial" w:hAnsi="Arial" w:cs="Arial"/>
          <w:color w:val="225171"/>
          <w:sz w:val="20"/>
          <w:szCs w:val="20"/>
          <w:bdr w:val="none" w:sz="0" w:space="0" w:color="auto" w:frame="1"/>
          <w:shd w:val="clear" w:color="auto" w:fill="FFFFFF"/>
        </w:rPr>
        <w:t>Такие уровни рейтингов 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отображают высокую инвестиционную привлекательность и способность города рассчитываться по своим обязательствам. «Стабильный» прогноз, с наиболее высокой долей вероятности, предполагает неизменность рейтинга на горизонте 12 месяцев.</w:t>
      </w:r>
    </w:p>
    <w:p w:rsidR="00E53DB5" w:rsidRDefault="00E53DB5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eastAsia="ru-RU"/>
        </w:rPr>
      </w:pPr>
      <w:r>
        <w:rPr>
          <w:rStyle w:val="a6"/>
          <w:rFonts w:ascii="Arial" w:hAnsi="Arial" w:cs="Arial"/>
          <w:color w:val="225171"/>
          <w:sz w:val="20"/>
          <w:bdr w:val="none" w:sz="0" w:space="0" w:color="auto" w:frame="1"/>
          <w:shd w:val="clear" w:color="auto" w:fill="FFFFFF"/>
        </w:rPr>
        <w:t>Подтверждение рейтингов обусловлено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 сохранением положительной динамики ключевых показателей социально-экономического развития и бюджета,</w:t>
      </w:r>
      <w:r w:rsidR="00990C83" w:rsidRPr="00990C83">
        <w:t xml:space="preserve"> </w:t>
      </w:r>
      <w:r w:rsidR="00F97EE0">
        <w:rPr>
          <w:rFonts w:ascii="Arial" w:hAnsi="Arial" w:cs="Arial"/>
          <w:color w:val="1F1F1F"/>
          <w:sz w:val="20"/>
          <w:szCs w:val="20"/>
          <w:shd w:val="clear" w:color="auto" w:fill="FFFFFF"/>
        </w:rPr>
        <w:t>у</w:t>
      </w:r>
      <w:bookmarkStart w:id="0" w:name="_GoBack"/>
      <w:bookmarkEnd w:id="0"/>
      <w:r w:rsidR="00F97EE0">
        <w:rPr>
          <w:rFonts w:ascii="Arial" w:hAnsi="Arial" w:cs="Arial"/>
          <w:color w:val="1F1F1F"/>
          <w:sz w:val="20"/>
          <w:szCs w:val="20"/>
          <w:shd w:val="clear" w:color="auto" w:fill="FFFFFF"/>
        </w:rPr>
        <w:t>меренной диверсификацией</w:t>
      </w:r>
      <w:r w:rsidR="00990C83"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хозяйственного комплекса города, развитием инфраструктуры.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Влияние негативных факторов на финансовую состоятельность города остается </w:t>
      </w:r>
      <w:r w:rsidR="00990C83"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ограниченным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, </w:t>
      </w:r>
      <w:r w:rsidR="00990C83"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несмотря на введение на территории области правового режима военного положения, а также сохранение сложной ситуации в экономике страны.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 </w:t>
      </w:r>
    </w:p>
    <w:p w:rsidR="00990C83" w:rsidRDefault="00990C83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eastAsia="ru-RU"/>
        </w:rPr>
      </w:pPr>
      <w:r>
        <w:rPr>
          <w:rStyle w:val="a6"/>
          <w:rFonts w:ascii="Arial" w:hAnsi="Arial" w:cs="Arial"/>
          <w:color w:val="225171"/>
          <w:sz w:val="20"/>
          <w:bdr w:val="none" w:sz="0" w:space="0" w:color="auto" w:frame="1"/>
          <w:shd w:val="clear" w:color="auto" w:fill="FFFFFF"/>
        </w:rPr>
        <w:t>Уровни рейтингов поддерживаются 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значением города, как регионального центра, низкой прямой и консолидированной долговой нагрузкой на доходную часть бюджета, продолжающимся ростом объемов поступлений в местный бюджет почти по всем основным статьям, а также достаточным уровнем бюджетной обеспеченности —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объем доходов бюджета (без учета трансфертов) в расчете на одного жителя превышает средние показатели по местным бюджетам и показатели большинства городов Украины.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Вместе с тем, у города есть значительная потребность в привлечении дополнительного финансирования, в том числе на восстановление объектов городской инфраструктуры и жилищно-коммунального хозяйства, 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а его хозяйственный комплекс и бюджет чувствительны к экономическим рискам.</w:t>
      </w:r>
    </w:p>
    <w:p w:rsidR="00B64E85" w:rsidRDefault="00990C83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eastAsia="ru-RU"/>
        </w:rPr>
      </w:pPr>
      <w:r w:rsidRPr="00990C8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eastAsia="ru-RU"/>
        </w:rPr>
        <w:t xml:space="preserve">7 ключевых показателей экономики </w:t>
      </w:r>
      <w:r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eastAsia="ru-RU"/>
        </w:rPr>
        <w:t xml:space="preserve">города Сумы за I полугодие 2018 года: </w:t>
      </w:r>
    </w:p>
    <w:p w:rsidR="00990C83" w:rsidRPr="00990C83" w:rsidRDefault="00990C83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1. Объем реализации промышленной продукции против соответствующего периода 2017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года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вырос на 11,4% - до 11,0 млрд грн. В расчете на одного 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жителя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показатель составляет 41,3 тыс. грн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.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, и в 1,4 раза превышает соответствующее значение по стране.</w:t>
      </w:r>
    </w:p>
    <w:p w:rsidR="00990C83" w:rsidRPr="00990C83" w:rsidRDefault="00990C83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2. Розничный товарооборот вырос в относительных ценах на 20,3% 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- 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до 2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,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92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млрд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грн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.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, и в пересчете на одного жителя является на 51% выше, чем в среднем по Украине.</w:t>
      </w:r>
    </w:p>
    <w:p w:rsidR="00990C83" w:rsidRPr="00990C83" w:rsidRDefault="00990C83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3. Внешнеторговый оборот увеличился на 19,9% до 339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,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млн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долл. США за счет экспорта и импорта товаров, 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которые 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выросли на 13,9% и 25,8% соответственно.</w:t>
      </w:r>
    </w:p>
    <w:p w:rsidR="00990C83" w:rsidRPr="00990C83" w:rsidRDefault="00990C83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4. Городской бюджет выполнен с профицитом в сумме 64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,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4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млн 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грн.</w:t>
      </w:r>
    </w:p>
    <w:p w:rsidR="00990C83" w:rsidRPr="00990C83" w:rsidRDefault="00990C83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5. Доходы бюджета города по сравнению с I полугодием 2017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года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увеличились на 27,9% - до 1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,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87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млрд</w:t>
      </w:r>
      <w:r w:rsidR="009952FB">
        <w:rPr>
          <w:rFonts w:ascii="Arial" w:hAnsi="Arial" w:cs="Arial"/>
          <w:color w:val="1F1F1F"/>
          <w:sz w:val="20"/>
          <w:szCs w:val="20"/>
          <w:shd w:val="clear" w:color="auto" w:fill="FFFFFF"/>
        </w:rPr>
        <w:t> 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грн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.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, из них собственные доходы города - на 23,5% до 0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,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83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млрд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грн.</w:t>
      </w:r>
    </w:p>
    <w:p w:rsidR="00990C83" w:rsidRPr="00990C83" w:rsidRDefault="00990C83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6. На расходы развития (капитальные расходы) направлено из городского бюджета сре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дства в сумме 158,0 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млн грн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.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, что в целом соответствует объему такого финансирования за соответствующий период 2017 года.</w:t>
      </w:r>
    </w:p>
    <w:p w:rsidR="00990C83" w:rsidRDefault="00990C83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7. Как и в предыдущие годы городской бюджет является бюджетом-донором - перечисл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яя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в государственный бюджет реверсную дотацию в сумме 43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,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>6</w:t>
      </w:r>
      <w:r w:rsidR="009952F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r w:rsid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млн</w:t>
      </w:r>
      <w:r w:rsidRPr="00990C8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грн.</w:t>
      </w:r>
    </w:p>
    <w:p w:rsidR="00D638D1" w:rsidRDefault="00D638D1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AD115D">
        <w:rPr>
          <w:rFonts w:ascii="Arial" w:eastAsia="Times New Roman" w:hAnsi="Arial" w:cs="Arial"/>
          <w:b/>
          <w:color w:val="225171"/>
          <w:sz w:val="20"/>
          <w:szCs w:val="20"/>
          <w:bdr w:val="none" w:sz="0" w:space="0" w:color="auto" w:frame="1"/>
          <w:lang w:eastAsia="ru-RU"/>
        </w:rPr>
        <w:t>Дмитрий Задесенец, директор муниципального департамента рейтингового агентства IBI-</w:t>
      </w:r>
      <w:proofErr w:type="spellStart"/>
      <w:r w:rsidRPr="00AD115D">
        <w:rPr>
          <w:rFonts w:ascii="Arial" w:eastAsia="Times New Roman" w:hAnsi="Arial" w:cs="Arial"/>
          <w:b/>
          <w:color w:val="225171"/>
          <w:sz w:val="20"/>
          <w:szCs w:val="20"/>
          <w:bdr w:val="none" w:sz="0" w:space="0" w:color="auto" w:frame="1"/>
          <w:lang w:eastAsia="ru-RU"/>
        </w:rPr>
        <w:t>Rating</w:t>
      </w:r>
      <w:proofErr w:type="spellEnd"/>
      <w:r w:rsidRP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, подчеркнул: «Положительно на развитие инвестиционного потенциала города Сумы влияет наличие мощного промышленного комплекса, диверсификация экономики города, а также возможность дальнейшего роста за счет внутреннего спроса и экспортных заказов, наличия необходимых ресурсов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».</w:t>
      </w:r>
    </w:p>
    <w:p w:rsidR="00D638D1" w:rsidRPr="00990C83" w:rsidRDefault="00D638D1" w:rsidP="00F97EE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«Сумской городской совет значительное внимание уделяет именно улучшению инвестиционного климата, информированности бизнеса и внедрению </w:t>
      </w:r>
      <w:r w:rsidR="00AD115D" w:rsidRP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проектов,</w:t>
      </w:r>
      <w:r w:rsidR="00AD115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которые</w:t>
      </w:r>
      <w:r w:rsidRP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привлекут инвесторов, среди которых - создание Индустриального парка</w:t>
      </w:r>
      <w:r w:rsidR="00AD115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r w:rsidRP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«Сумы», - прокомментировала результаты обновления рейтингов </w:t>
      </w:r>
      <w:r w:rsidRPr="00AD115D">
        <w:rPr>
          <w:rFonts w:ascii="Arial" w:eastAsia="Times New Roman" w:hAnsi="Arial" w:cs="Arial"/>
          <w:b/>
          <w:color w:val="225171"/>
          <w:sz w:val="20"/>
          <w:szCs w:val="20"/>
          <w:bdr w:val="none" w:sz="0" w:space="0" w:color="auto" w:frame="1"/>
          <w:lang w:eastAsia="ru-RU"/>
        </w:rPr>
        <w:t>Светлана Липовая, директор департамента финансов, экономики и инвестиций Сумского городского совета</w:t>
      </w:r>
      <w:r w:rsidRPr="00D638D1">
        <w:rPr>
          <w:rFonts w:ascii="Arial" w:hAnsi="Arial" w:cs="Arial"/>
          <w:color w:val="1F1F1F"/>
          <w:sz w:val="20"/>
          <w:szCs w:val="20"/>
          <w:shd w:val="clear" w:color="auto" w:fill="FFFFFF"/>
        </w:rPr>
        <w:t>.</w:t>
      </w:r>
    </w:p>
    <w:p w:rsidR="0032699A" w:rsidRPr="0032699A" w:rsidRDefault="0032699A" w:rsidP="00F97EE0">
      <w:pPr>
        <w:spacing w:after="120" w:line="240" w:lineRule="auto"/>
        <w:ind w:firstLine="567"/>
        <w:jc w:val="both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32699A">
        <w:rPr>
          <w:rFonts w:ascii="Arial" w:hAnsi="Arial" w:cs="Arial"/>
          <w:color w:val="1F1F1F"/>
          <w:sz w:val="20"/>
          <w:szCs w:val="20"/>
          <w:shd w:val="clear" w:color="auto" w:fill="FFFFFF"/>
        </w:rPr>
        <w:t>Для проведения аналитического исследования были использованы материалы, полученные от города Сумы, в том числе: показатели социально-экономического развития, статистические данные, казначейская отчетность, программные материалы, другая необходимая внутренняя информация, а также информация из открытых источников, которую Рейтинговое агентство считает достоверной. </w:t>
      </w:r>
    </w:p>
    <w:p w:rsidR="0032699A" w:rsidRPr="0032699A" w:rsidRDefault="0032699A" w:rsidP="00AD115D">
      <w:pPr>
        <w:spacing w:after="0" w:line="240" w:lineRule="auto"/>
        <w:ind w:firstLine="567"/>
        <w:jc w:val="both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32699A">
        <w:rPr>
          <w:rStyle w:val="a6"/>
          <w:rFonts w:ascii="Arial" w:hAnsi="Arial" w:cs="Arial"/>
          <w:color w:val="225171"/>
          <w:sz w:val="20"/>
          <w:bdr w:val="none" w:sz="0" w:space="0" w:color="auto" w:frame="1"/>
          <w:shd w:val="clear" w:color="auto" w:fill="FFFFFF"/>
        </w:rPr>
        <w:t>Муниципальный департамент</w:t>
      </w:r>
      <w:r w:rsidRPr="0032699A">
        <w:rPr>
          <w:rFonts w:ascii="Arial" w:hAnsi="Arial" w:cs="Arial"/>
          <w:color w:val="1F1F1F"/>
          <w:sz w:val="20"/>
          <w:szCs w:val="20"/>
          <w:shd w:val="clear" w:color="auto" w:fill="FFFFFF"/>
        </w:rPr>
        <w:t> </w:t>
      </w:r>
    </w:p>
    <w:p w:rsidR="0032699A" w:rsidRPr="0032699A" w:rsidRDefault="0032699A" w:rsidP="00AD115D">
      <w:pPr>
        <w:spacing w:after="0" w:line="240" w:lineRule="auto"/>
        <w:ind w:firstLine="567"/>
        <w:jc w:val="both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32699A">
        <w:rPr>
          <w:rFonts w:ascii="Arial" w:hAnsi="Arial" w:cs="Arial"/>
          <w:color w:val="1F1F1F"/>
          <w:sz w:val="20"/>
          <w:szCs w:val="20"/>
          <w:shd w:val="clear" w:color="auto" w:fill="FFFFFF"/>
        </w:rPr>
        <w:t>За дополнительной информацией обращайтесь: </w:t>
      </w:r>
    </w:p>
    <w:p w:rsidR="0032699A" w:rsidRPr="009952FB" w:rsidRDefault="0032699A" w:rsidP="00AD115D">
      <w:pPr>
        <w:spacing w:after="0" w:line="240" w:lineRule="auto"/>
        <w:ind w:firstLine="567"/>
        <w:jc w:val="both"/>
        <w:rPr>
          <w:rFonts w:ascii="Arial" w:hAnsi="Arial" w:cs="Arial"/>
          <w:color w:val="1F1F1F"/>
          <w:sz w:val="20"/>
          <w:szCs w:val="20"/>
          <w:shd w:val="clear" w:color="auto" w:fill="FFFFFF"/>
          <w:lang w:val="en-US"/>
        </w:rPr>
      </w:pPr>
      <w:r w:rsidRPr="0032699A">
        <w:rPr>
          <w:rFonts w:ascii="Arial" w:hAnsi="Arial" w:cs="Arial"/>
          <w:color w:val="1F1F1F"/>
          <w:sz w:val="20"/>
          <w:szCs w:val="20"/>
          <w:shd w:val="clear" w:color="auto" w:fill="FFFFFF"/>
        </w:rPr>
        <w:t>Пресс</w:t>
      </w:r>
      <w:r w:rsidRPr="009952FB">
        <w:rPr>
          <w:rFonts w:ascii="Arial" w:hAnsi="Arial" w:cs="Arial"/>
          <w:color w:val="1F1F1F"/>
          <w:sz w:val="20"/>
          <w:szCs w:val="20"/>
          <w:shd w:val="clear" w:color="auto" w:fill="FFFFFF"/>
          <w:lang w:val="en-US"/>
        </w:rPr>
        <w:t>-</w:t>
      </w:r>
      <w:r w:rsidRPr="0032699A">
        <w:rPr>
          <w:rFonts w:ascii="Arial" w:hAnsi="Arial" w:cs="Arial"/>
          <w:color w:val="1F1F1F"/>
          <w:sz w:val="20"/>
          <w:szCs w:val="20"/>
          <w:shd w:val="clear" w:color="auto" w:fill="FFFFFF"/>
        </w:rPr>
        <w:t>служба</w:t>
      </w:r>
      <w:r w:rsidRPr="009952FB">
        <w:rPr>
          <w:rFonts w:ascii="Arial" w:hAnsi="Arial" w:cs="Arial"/>
          <w:color w:val="1F1F1F"/>
          <w:sz w:val="20"/>
          <w:szCs w:val="20"/>
          <w:shd w:val="clear" w:color="auto" w:fill="FFFFFF"/>
          <w:lang w:val="en-US"/>
        </w:rPr>
        <w:t xml:space="preserve"> IBI-Rating </w:t>
      </w:r>
    </w:p>
    <w:p w:rsidR="0032699A" w:rsidRPr="009952FB" w:rsidRDefault="0032699A" w:rsidP="00AD115D">
      <w:pPr>
        <w:spacing w:after="0" w:line="240" w:lineRule="auto"/>
        <w:ind w:firstLine="567"/>
        <w:jc w:val="both"/>
        <w:rPr>
          <w:rFonts w:ascii="Arial" w:hAnsi="Arial" w:cs="Arial"/>
          <w:color w:val="1F1F1F"/>
          <w:sz w:val="20"/>
          <w:szCs w:val="20"/>
          <w:shd w:val="clear" w:color="auto" w:fill="FFFFFF"/>
          <w:lang w:val="en-US"/>
        </w:rPr>
      </w:pPr>
      <w:r w:rsidRPr="009952FB">
        <w:rPr>
          <w:rFonts w:ascii="Arial" w:hAnsi="Arial" w:cs="Arial"/>
          <w:color w:val="1F1F1F"/>
          <w:sz w:val="20"/>
          <w:szCs w:val="20"/>
          <w:shd w:val="clear" w:color="auto" w:fill="FFFFFF"/>
          <w:lang w:val="en-US"/>
        </w:rPr>
        <w:t>(044) 362-90-84</w:t>
      </w:r>
    </w:p>
    <w:p w:rsidR="0032699A" w:rsidRPr="009952FB" w:rsidRDefault="0032699A" w:rsidP="00AD115D">
      <w:pPr>
        <w:spacing w:after="0" w:line="240" w:lineRule="auto"/>
        <w:ind w:firstLine="567"/>
        <w:jc w:val="both"/>
        <w:rPr>
          <w:sz w:val="20"/>
          <w:szCs w:val="20"/>
          <w:lang w:val="en-US"/>
        </w:rPr>
      </w:pPr>
      <w:r w:rsidRPr="009952FB">
        <w:rPr>
          <w:rFonts w:ascii="Arial" w:hAnsi="Arial" w:cs="Arial"/>
          <w:color w:val="1F1F1F"/>
          <w:sz w:val="20"/>
          <w:szCs w:val="20"/>
          <w:shd w:val="clear" w:color="auto" w:fill="FFFFFF"/>
          <w:lang w:val="en-US"/>
        </w:rPr>
        <w:t>press(at)ibi.com.ua</w:t>
      </w:r>
    </w:p>
    <w:sectPr w:rsidR="0032699A" w:rsidRPr="009952FB" w:rsidSect="00B64E85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00CD"/>
    <w:multiLevelType w:val="hybridMultilevel"/>
    <w:tmpl w:val="BB622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B843B2"/>
    <w:multiLevelType w:val="hybridMultilevel"/>
    <w:tmpl w:val="28603DA8"/>
    <w:lvl w:ilvl="0" w:tplc="E9BEC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9D"/>
    <w:rsid w:val="00046D73"/>
    <w:rsid w:val="000E1B0A"/>
    <w:rsid w:val="001C5F8B"/>
    <w:rsid w:val="002613D2"/>
    <w:rsid w:val="0032699A"/>
    <w:rsid w:val="00780512"/>
    <w:rsid w:val="00882028"/>
    <w:rsid w:val="00990C83"/>
    <w:rsid w:val="009952FB"/>
    <w:rsid w:val="00A3226C"/>
    <w:rsid w:val="00AD115D"/>
    <w:rsid w:val="00B64E85"/>
    <w:rsid w:val="00BF129D"/>
    <w:rsid w:val="00C636EF"/>
    <w:rsid w:val="00D638D1"/>
    <w:rsid w:val="00D93920"/>
    <w:rsid w:val="00E53DB5"/>
    <w:rsid w:val="00F65AF4"/>
    <w:rsid w:val="00F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DA7"/>
  <w15:chartTrackingRefBased/>
  <w15:docId w15:val="{5AB1A160-B417-45C6-A4C4-BC501B9C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E85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4E85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80512"/>
    <w:pPr>
      <w:ind w:left="720"/>
      <w:contextualSpacing/>
    </w:pPr>
  </w:style>
  <w:style w:type="character" w:styleId="a6">
    <w:name w:val="Strong"/>
    <w:basedOn w:val="a0"/>
    <w:uiPriority w:val="22"/>
    <w:qFormat/>
    <w:rsid w:val="00046D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6EF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2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Osadcha</dc:creator>
  <cp:keywords/>
  <dc:description/>
  <cp:lastModifiedBy>Anna</cp:lastModifiedBy>
  <cp:revision>17</cp:revision>
  <cp:lastPrinted>2018-12-04T08:54:00Z</cp:lastPrinted>
  <dcterms:created xsi:type="dcterms:W3CDTF">2018-12-03T12:59:00Z</dcterms:created>
  <dcterms:modified xsi:type="dcterms:W3CDTF">2018-12-10T05:00:00Z</dcterms:modified>
</cp:coreProperties>
</file>