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2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B64E85" w:rsidRPr="00046D73" w:rsidTr="00B64E85">
        <w:trPr>
          <w:trHeight w:val="1280"/>
        </w:trPr>
        <w:tc>
          <w:tcPr>
            <w:tcW w:w="5000" w:type="pct"/>
            <w:tcBorders>
              <w:top w:val="nil"/>
              <w:left w:val="nil"/>
              <w:bottom w:val="single" w:sz="24" w:space="0" w:color="A6A6A6"/>
              <w:right w:val="nil"/>
            </w:tcBorders>
            <w:hideMark/>
          </w:tcPr>
          <w:p w:rsidR="00B64E85" w:rsidRPr="00046D73" w:rsidRDefault="00B64E85">
            <w:pPr>
              <w:spacing w:before="120" w:after="120"/>
              <w:jc w:val="center"/>
              <w:rPr>
                <w:rFonts w:ascii="Arial" w:hAnsi="Arial" w:cs="Arial"/>
                <w:b/>
                <w:color w:val="969696"/>
                <w:sz w:val="40"/>
                <w:szCs w:val="40"/>
                <w:lang w:val="uk-UA"/>
              </w:rPr>
            </w:pPr>
            <w:r w:rsidRPr="00046D73">
              <w:rPr>
                <w:rFonts w:ascii="Arial" w:hAnsi="Arial" w:cs="Arial"/>
                <w:b/>
                <w:noProof/>
                <w:color w:val="969696"/>
                <w:sz w:val="40"/>
                <w:szCs w:val="40"/>
                <w:lang w:eastAsia="ru-RU"/>
              </w:rPr>
              <w:drawing>
                <wp:inline distT="0" distB="0" distL="0" distR="0">
                  <wp:extent cx="2311400" cy="358140"/>
                  <wp:effectExtent l="0" t="0" r="0" b="3810"/>
                  <wp:docPr id="1" name="Рисунок 1" descr="logoIBIRating_newlight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BIRating_newlight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E85" w:rsidRPr="00046D73" w:rsidRDefault="00B64E85">
            <w:pPr>
              <w:spacing w:before="120" w:after="120"/>
              <w:jc w:val="center"/>
              <w:rPr>
                <w:rFonts w:ascii="Arial" w:hAnsi="Arial" w:cs="Arial"/>
                <w:b/>
                <w:color w:val="969696"/>
                <w:sz w:val="40"/>
                <w:szCs w:val="40"/>
                <w:lang w:val="uk-UA"/>
              </w:rPr>
            </w:pPr>
            <w:r w:rsidRPr="00046D73">
              <w:rPr>
                <w:rFonts w:ascii="Arial" w:hAnsi="Arial" w:cs="Arial"/>
                <w:b/>
                <w:bCs/>
                <w:caps/>
                <w:color w:val="003366"/>
                <w:sz w:val="24"/>
                <w:szCs w:val="24"/>
                <w:lang w:val="uk-UA" w:eastAsia="uk-UA"/>
              </w:rPr>
              <w:t>ПРЕС-РЕЛІЗ</w:t>
            </w:r>
          </w:p>
        </w:tc>
      </w:tr>
    </w:tbl>
    <w:p w:rsidR="00B64E85" w:rsidRPr="00046D73" w:rsidRDefault="00B64E85" w:rsidP="00B64E85">
      <w:pPr>
        <w:pStyle w:val="a3"/>
        <w:rPr>
          <w:sz w:val="20"/>
          <w:lang w:val="uk-UA"/>
        </w:rPr>
      </w:pPr>
    </w:p>
    <w:p w:rsidR="00D1718F" w:rsidRDefault="00B64E85" w:rsidP="00B64E85">
      <w:pPr>
        <w:shd w:val="clear" w:color="auto" w:fill="FFFFFF"/>
        <w:spacing w:after="120" w:line="240" w:lineRule="auto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val="uk-UA" w:eastAsia="ru-RU"/>
        </w:rPr>
        <w:t>IBI-</w:t>
      </w:r>
      <w:proofErr w:type="spellStart"/>
      <w:r w:rsidRPr="00046D73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val="uk-UA" w:eastAsia="ru-RU"/>
        </w:rPr>
        <w:t>Rating</w:t>
      </w:r>
      <w:proofErr w:type="spellEnd"/>
      <w:r w:rsidRPr="00046D73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val="uk-UA" w:eastAsia="ru-RU"/>
        </w:rPr>
        <w:t xml:space="preserve"> підтвердило кредитний рейтинг та рейтинг інвестиційної привабливості </w:t>
      </w:r>
    </w:p>
    <w:p w:rsidR="00B64E85" w:rsidRPr="00046D73" w:rsidRDefault="00B64E85" w:rsidP="00B64E85">
      <w:pPr>
        <w:shd w:val="clear" w:color="auto" w:fill="FFFFFF"/>
        <w:spacing w:after="120" w:line="240" w:lineRule="auto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b/>
          <w:bCs/>
          <w:color w:val="104265"/>
          <w:spacing w:val="11"/>
          <w:kern w:val="36"/>
          <w:sz w:val="20"/>
          <w:szCs w:val="20"/>
          <w:lang w:val="uk-UA" w:eastAsia="ru-RU"/>
        </w:rPr>
        <w:t>міста Суми</w:t>
      </w:r>
    </w:p>
    <w:p w:rsidR="00B64E85" w:rsidRPr="00046D73" w:rsidRDefault="00B64E85" w:rsidP="00B64E85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Національне рейтингове агентство ІВІ-</w:t>
      </w:r>
      <w:proofErr w:type="spellStart"/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Rating</w:t>
      </w:r>
      <w:proofErr w:type="spellEnd"/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 повідомляє про підтвердження кредитного рейтингу м. Суми на рівні </w:t>
      </w:r>
      <w:proofErr w:type="spellStart"/>
      <w:r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>uaА</w:t>
      </w:r>
      <w:proofErr w:type="spellEnd"/>
      <w:r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>-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 з прогнозом </w:t>
      </w:r>
      <w:r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>«стабільний»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, а також рейтингу інвестиційної привабливості </w:t>
      </w:r>
      <w:r w:rsidR="00882028"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м. Суми 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на рівні </w:t>
      </w:r>
      <w:proofErr w:type="spellStart"/>
      <w:r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>invА</w:t>
      </w:r>
      <w:proofErr w:type="spellEnd"/>
      <w:r w:rsidR="00780512"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>-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. </w:t>
      </w:r>
    </w:p>
    <w:p w:rsidR="00B64E85" w:rsidRPr="00046D73" w:rsidRDefault="00B64E85" w:rsidP="00B64E85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>Такі рівні рейтингів відображають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 високу інвестиційну привабливість та спроможність міста розраховуватися за своїми зобов'язаннями. «Стабільний» прогноз, з найбільш високою часткою ймовірності, передбачає незмінність рейтингу на горизонті 12 місяців.</w:t>
      </w:r>
    </w:p>
    <w:p w:rsidR="00B64E85" w:rsidRPr="00046D73" w:rsidRDefault="00B64E85" w:rsidP="00B64E85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>Підтвердження рейтингів зумовлено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 збереженням позитивної динаміки ключових показників соціально-економічного розвитку та бюджету, помірною диверсифікацією господарського комплексу міста, розвитком</w:t>
      </w:r>
      <w:r w:rsidR="00C636EF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 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інфраструктури. Вплив негативних чинників на інвестиційну привабливість та фінансову спроможність міста є обмеженим, незважаючи на введення на території області правового режиму воєнного стану, а також збереження складної ситуації в економіці країни. </w:t>
      </w:r>
    </w:p>
    <w:p w:rsidR="00B64E85" w:rsidRPr="00046D73" w:rsidRDefault="00B64E85" w:rsidP="00B64E85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>Рівні рейтингів підтримуються</w:t>
      </w:r>
      <w:r w:rsidRPr="00046D73">
        <w:rPr>
          <w:rFonts w:ascii="Arial" w:eastAsia="Times New Roman" w:hAnsi="Arial" w:cs="Arial"/>
          <w:color w:val="FF0000"/>
          <w:sz w:val="20"/>
          <w:szCs w:val="20"/>
          <w:lang w:val="uk-UA" w:eastAsia="ru-RU"/>
        </w:rPr>
        <w:t> 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значенням міста, як регіонального центру, низьким прямим та консолідованим борговим навантаженням на дох</w:t>
      </w:r>
      <w:r w:rsidR="00780512"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і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дну частину бюджету, тривалим зростанням обсягів надходжень до місцевого бюджету майже за всіма основними статтями, а також достатнім рівнем бюджетної забезпеченості – обсяг доходів бюджету (без урахування трансфертів) в розрахунку на одного мешканця перевищує середні показники по місцевих бюджетах та показники більшості міст України. Разом з тим, у міста є потреба у залученні додаткового фінансування, в тому числі на відновлення об’єктів міської інфраструктури та житлово-комунального господарства, а його господарський комплекс та бюджет є чутливим до економічних ризиків</w:t>
      </w:r>
      <w:r w:rsidR="00780512"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.</w:t>
      </w:r>
    </w:p>
    <w:p w:rsidR="00B64E85" w:rsidRPr="00046D73" w:rsidRDefault="00B64E85" w:rsidP="00D1718F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</w:pPr>
      <w:r w:rsidRPr="00046D73">
        <w:rPr>
          <w:rFonts w:ascii="Arial" w:eastAsiaTheme="minorHAnsi" w:hAnsi="Arial" w:cs="Arial"/>
          <w:b/>
          <w:bCs/>
          <w:color w:val="225171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7 ключових показників економіки міста Суми </w:t>
      </w:r>
      <w:r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 xml:space="preserve">за І півріччя 2018 року: </w:t>
      </w:r>
    </w:p>
    <w:p w:rsidR="00780512" w:rsidRPr="00046D73" w:rsidRDefault="00780512" w:rsidP="00D1718F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Обсяг реалізації промислової продукції проти відповідного періоду 2017 року зріс на 11,4 % – до 11,0 млрд грн. У розрахунку на одну особу показник складає 41,3 тис. грн, та у 1,4 рази перевищує відповідне значення по країні.</w:t>
      </w:r>
    </w:p>
    <w:p w:rsidR="00780512" w:rsidRPr="00046D73" w:rsidRDefault="00780512" w:rsidP="00D1718F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Роздрібний товарооборот зріс у відносних цінах на 20,3% до 2,92 млрд грн, та у перерахунку на одного мешканця є на 51% вищим, ніж у середньому по Україні. </w:t>
      </w:r>
    </w:p>
    <w:p w:rsidR="00780512" w:rsidRPr="00046D73" w:rsidRDefault="00F65AF4" w:rsidP="00D1718F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Зовнішньоторговельний оборот збільшився на 19,9% до 339,4 млн </w:t>
      </w:r>
      <w:proofErr w:type="spellStart"/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дол</w:t>
      </w:r>
      <w:proofErr w:type="spellEnd"/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. США за рахунок експорту та імпорту товарів, що зросли на 13,9% та 25,8% відповідно.</w:t>
      </w:r>
    </w:p>
    <w:p w:rsidR="00B64E85" w:rsidRPr="00046D73" w:rsidRDefault="00B64E85" w:rsidP="00D1718F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Міський бюджет виконано з профіцитом у сумі 64,4 млн грн.</w:t>
      </w:r>
    </w:p>
    <w:p w:rsidR="00B64E85" w:rsidRPr="00046D73" w:rsidRDefault="00780512" w:rsidP="00D1718F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Д</w:t>
      </w:r>
      <w:r w:rsidR="00B64E85"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оходи бюджету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 міста</w:t>
      </w:r>
      <w:r w:rsidR="00B64E85"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 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в</w:t>
      </w:r>
      <w:r w:rsidR="00B64E85"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 порівнянні з І півріччям 2017 року збільшились на 27,9% 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-</w:t>
      </w:r>
      <w:r w:rsidR="00D1718F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 до 1,87 млрд </w:t>
      </w:r>
      <w:r w:rsidR="00B64E85"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грн, </w:t>
      </w:r>
      <w:r w:rsidR="00B64E85" w:rsidRPr="00046D73">
        <w:rPr>
          <w:rFonts w:ascii="Arial" w:eastAsiaTheme="minorHAnsi" w:hAnsi="Arial" w:cs="Arial"/>
          <w:color w:val="1F1F1F"/>
          <w:sz w:val="20"/>
          <w:szCs w:val="20"/>
          <w:shd w:val="clear" w:color="auto" w:fill="FFFFFF"/>
          <w:lang w:val="uk-UA"/>
        </w:rPr>
        <w:t xml:space="preserve">з них </w:t>
      </w:r>
      <w:r w:rsidRPr="00046D73">
        <w:rPr>
          <w:rFonts w:ascii="Arial" w:eastAsiaTheme="minorHAnsi" w:hAnsi="Arial" w:cs="Arial"/>
          <w:color w:val="1F1F1F"/>
          <w:sz w:val="20"/>
          <w:szCs w:val="20"/>
          <w:shd w:val="clear" w:color="auto" w:fill="FFFFFF"/>
          <w:lang w:val="uk-UA"/>
        </w:rPr>
        <w:t xml:space="preserve">власні </w:t>
      </w:r>
      <w:r w:rsidR="00B64E85" w:rsidRPr="00046D73">
        <w:rPr>
          <w:rFonts w:ascii="Arial" w:eastAsiaTheme="minorHAnsi" w:hAnsi="Arial" w:cs="Arial"/>
          <w:color w:val="1F1F1F"/>
          <w:sz w:val="20"/>
          <w:szCs w:val="20"/>
          <w:shd w:val="clear" w:color="auto" w:fill="FFFFFF"/>
          <w:lang w:val="uk-UA"/>
        </w:rPr>
        <w:t xml:space="preserve">доходи міста </w:t>
      </w:r>
      <w:r w:rsidR="00C636EF">
        <w:rPr>
          <w:rFonts w:ascii="Arial" w:eastAsiaTheme="minorHAnsi" w:hAnsi="Arial" w:cs="Arial"/>
          <w:color w:val="1F1F1F"/>
          <w:sz w:val="20"/>
          <w:szCs w:val="20"/>
          <w:shd w:val="clear" w:color="auto" w:fill="FFFFFF"/>
          <w:lang w:val="uk-UA"/>
        </w:rPr>
        <w:t>-</w:t>
      </w:r>
      <w:r w:rsidR="00B64E85" w:rsidRPr="00046D73">
        <w:rPr>
          <w:rFonts w:ascii="Arial" w:eastAsiaTheme="minorHAnsi" w:hAnsi="Arial" w:cs="Arial"/>
          <w:color w:val="1F1F1F"/>
          <w:sz w:val="20"/>
          <w:szCs w:val="20"/>
          <w:shd w:val="clear" w:color="auto" w:fill="FFFFFF"/>
          <w:lang w:val="uk-UA"/>
        </w:rPr>
        <w:t xml:space="preserve"> </w:t>
      </w:r>
      <w:r w:rsidR="00C636EF">
        <w:rPr>
          <w:rFonts w:ascii="Arial" w:eastAsiaTheme="minorHAnsi" w:hAnsi="Arial" w:cs="Arial"/>
          <w:color w:val="1F1F1F"/>
          <w:sz w:val="20"/>
          <w:szCs w:val="20"/>
          <w:shd w:val="clear" w:color="auto" w:fill="FFFFFF"/>
          <w:lang w:val="uk-UA"/>
        </w:rPr>
        <w:t xml:space="preserve">на </w:t>
      </w:r>
      <w:r w:rsidR="00B64E85"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23,</w:t>
      </w:r>
      <w:r w:rsidR="00A3226C" w:rsidRPr="004F2DFB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5</w:t>
      </w:r>
      <w:r w:rsidR="00B64E85"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%  до 0,83 млрд грн.</w:t>
      </w:r>
    </w:p>
    <w:p w:rsidR="00780512" w:rsidRPr="00046D73" w:rsidRDefault="00B64E85" w:rsidP="00D1718F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На видатки розвитку (капітальні видатки) спрямовано з місь</w:t>
      </w:r>
      <w:r w:rsidR="00D1718F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кого бюджету кошти в сумі 158,0 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млн</w:t>
      </w:r>
      <w:r w:rsidR="00D1718F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 </w:t>
      </w:r>
      <w:bookmarkStart w:id="0" w:name="_GoBack"/>
      <w:bookmarkEnd w:id="0"/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грн, що загалом відповідає обсягу такого фінансування за відповідний період 2017 року. </w:t>
      </w:r>
    </w:p>
    <w:p w:rsidR="00B64E85" w:rsidRPr="00046D73" w:rsidRDefault="00B64E85" w:rsidP="00D1718F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Theme="minorHAnsi" w:hAnsi="Arial" w:cs="Arial"/>
          <w:color w:val="1F1F1F"/>
          <w:sz w:val="20"/>
          <w:szCs w:val="20"/>
          <w:shd w:val="clear" w:color="auto" w:fill="FFFFFF"/>
          <w:lang w:val="uk-UA"/>
        </w:rPr>
        <w:t>Як і в попередні роки мі</w:t>
      </w:r>
      <w:r w:rsidR="00F65AF4" w:rsidRPr="00046D73">
        <w:rPr>
          <w:rFonts w:ascii="Arial" w:eastAsiaTheme="minorHAnsi" w:hAnsi="Arial" w:cs="Arial"/>
          <w:color w:val="1F1F1F"/>
          <w:sz w:val="20"/>
          <w:szCs w:val="20"/>
          <w:shd w:val="clear" w:color="auto" w:fill="FFFFFF"/>
          <w:lang w:val="uk-UA"/>
        </w:rPr>
        <w:t xml:space="preserve">ський бюджет є бюджетом-донором - </w:t>
      </w:r>
      <w:r w:rsidRPr="00046D73">
        <w:rPr>
          <w:rFonts w:ascii="Arial" w:eastAsiaTheme="minorHAnsi" w:hAnsi="Arial" w:cs="Arial"/>
          <w:color w:val="1F1F1F"/>
          <w:sz w:val="20"/>
          <w:szCs w:val="20"/>
          <w:shd w:val="clear" w:color="auto" w:fill="FFFFFF"/>
          <w:lang w:val="uk-UA"/>
        </w:rPr>
        <w:t xml:space="preserve">перераховано до державного бюджету реверсну дотацію в сумі 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43,6 </w:t>
      </w:r>
      <w:r w:rsidRPr="00046D73">
        <w:rPr>
          <w:rFonts w:ascii="Arial" w:eastAsiaTheme="minorHAnsi" w:hAnsi="Arial" w:cs="Arial"/>
          <w:color w:val="1F1F1F"/>
          <w:sz w:val="20"/>
          <w:szCs w:val="20"/>
          <w:shd w:val="clear" w:color="auto" w:fill="FFFFFF"/>
          <w:lang w:val="uk-UA"/>
        </w:rPr>
        <w:t>млн грн.</w:t>
      </w:r>
    </w:p>
    <w:p w:rsidR="00B64E85" w:rsidRPr="00046D73" w:rsidRDefault="00B64E85" w:rsidP="00B64E85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 xml:space="preserve">Дмитро </w:t>
      </w:r>
      <w:proofErr w:type="spellStart"/>
      <w:r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>Задесенець</w:t>
      </w:r>
      <w:proofErr w:type="spellEnd"/>
      <w:r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>, Директор муніципального департаменту рейтингового агентства IBI-</w:t>
      </w:r>
      <w:proofErr w:type="spellStart"/>
      <w:r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>Rating</w:t>
      </w:r>
      <w:proofErr w:type="spellEnd"/>
      <w:r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>, підкреслив:</w:t>
      </w:r>
      <w:r w:rsidRPr="00046D73">
        <w:rPr>
          <w:rFonts w:ascii="Arial" w:eastAsia="Times New Roman" w:hAnsi="Arial" w:cs="Arial"/>
          <w:sz w:val="20"/>
          <w:szCs w:val="20"/>
          <w:lang w:val="uk-UA" w:eastAsia="ru-RU"/>
        </w:rPr>
        <w:t>  «</w:t>
      </w: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Позитивно на розвиток інвестиційного потенціалу міста Суми впливає наявність потужного промислового комплексу, диверсифікація економіки міста, а також можливість її подальшого зростання за рахунок внутрішнього попиту і експортних замовлень, наявності необхідних ресурсів».</w:t>
      </w:r>
    </w:p>
    <w:p w:rsidR="00046D73" w:rsidRPr="00D93920" w:rsidRDefault="00B64E85" w:rsidP="00046D73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</w:pPr>
      <w:r w:rsidRPr="00D93920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«</w:t>
      </w:r>
      <w:r w:rsidR="00046D73" w:rsidRPr="00D93920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Сумська </w:t>
      </w:r>
      <w:r w:rsidR="00046D73" w:rsidRPr="00D93920">
        <w:rPr>
          <w:rFonts w:ascii="Arial" w:hAnsi="Arial" w:cs="Arial"/>
          <w:sz w:val="20"/>
          <w:szCs w:val="20"/>
          <w:lang w:val="uk-UA"/>
        </w:rPr>
        <w:t>міська рада значну увагу приділяє саме поліпшенню інвестиційного клімату, інформованості бізнесу та</w:t>
      </w:r>
      <w:r w:rsidR="00D93920">
        <w:rPr>
          <w:rFonts w:ascii="Arial" w:hAnsi="Arial" w:cs="Arial"/>
          <w:sz w:val="20"/>
          <w:szCs w:val="20"/>
          <w:lang w:val="uk-UA"/>
        </w:rPr>
        <w:t xml:space="preserve"> впровадженню</w:t>
      </w:r>
      <w:r w:rsidR="00D93920" w:rsidRPr="00D93920">
        <w:rPr>
          <w:rFonts w:ascii="Arial" w:hAnsi="Arial" w:cs="Arial"/>
          <w:sz w:val="20"/>
          <w:szCs w:val="20"/>
          <w:lang w:val="uk-UA"/>
        </w:rPr>
        <w:t xml:space="preserve"> </w:t>
      </w:r>
      <w:r w:rsidR="00046D73" w:rsidRPr="00D93920">
        <w:rPr>
          <w:rFonts w:ascii="Arial" w:hAnsi="Arial" w:cs="Arial"/>
          <w:sz w:val="20"/>
          <w:szCs w:val="20"/>
          <w:lang w:val="uk-UA"/>
        </w:rPr>
        <w:t xml:space="preserve">проектів, які приваблять інвесторів, серед яких </w:t>
      </w:r>
      <w:r w:rsidR="00D93920" w:rsidRPr="00D93920">
        <w:rPr>
          <w:rFonts w:ascii="Arial" w:hAnsi="Arial" w:cs="Arial"/>
          <w:sz w:val="20"/>
          <w:szCs w:val="20"/>
          <w:lang w:val="uk-UA"/>
        </w:rPr>
        <w:t xml:space="preserve">- </w:t>
      </w:r>
      <w:r w:rsidR="00046D73" w:rsidRPr="00D93920">
        <w:rPr>
          <w:rFonts w:ascii="Arial" w:hAnsi="Arial" w:cs="Arial"/>
          <w:sz w:val="20"/>
          <w:szCs w:val="20"/>
          <w:lang w:val="uk-UA"/>
        </w:rPr>
        <w:t>створення Ін</w:t>
      </w:r>
      <w:r w:rsidR="00C636EF">
        <w:rPr>
          <w:rFonts w:ascii="Arial" w:hAnsi="Arial" w:cs="Arial"/>
          <w:sz w:val="20"/>
          <w:szCs w:val="20"/>
          <w:lang w:val="uk-UA"/>
        </w:rPr>
        <w:t xml:space="preserve">дустріального </w:t>
      </w:r>
      <w:r w:rsidR="00046D73" w:rsidRPr="00D93920">
        <w:rPr>
          <w:rFonts w:ascii="Arial" w:hAnsi="Arial" w:cs="Arial"/>
          <w:sz w:val="20"/>
          <w:szCs w:val="20"/>
          <w:lang w:val="uk-UA"/>
        </w:rPr>
        <w:t>парку «Суми</w:t>
      </w:r>
      <w:r w:rsidRPr="00D93920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 xml:space="preserve">», - </w:t>
      </w:r>
      <w:r w:rsidRPr="00D93920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 xml:space="preserve">прокоментувала </w:t>
      </w:r>
      <w:r w:rsidR="00046D73" w:rsidRPr="00D93920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 xml:space="preserve">результати </w:t>
      </w:r>
      <w:r w:rsidRPr="00D93920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 xml:space="preserve">оновлення рейтингів </w:t>
      </w:r>
      <w:r w:rsidR="00046D73" w:rsidRPr="00D93920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 xml:space="preserve">Світлана Липова, Директор </w:t>
      </w:r>
      <w:r w:rsidR="00046D73" w:rsidRPr="00D93920">
        <w:rPr>
          <w:rFonts w:ascii="Arial" w:eastAsia="Times New Roman" w:hAnsi="Arial" w:cs="Arial"/>
          <w:b/>
          <w:color w:val="225171"/>
          <w:sz w:val="20"/>
          <w:szCs w:val="20"/>
          <w:bdr w:val="none" w:sz="0" w:space="0" w:color="auto" w:frame="1"/>
          <w:lang w:val="uk-UA" w:eastAsia="ru-RU"/>
        </w:rPr>
        <w:t xml:space="preserve">департаменту фінансів, економіки та інвестицій Сумської міської ради. </w:t>
      </w:r>
    </w:p>
    <w:p w:rsidR="00B64E85" w:rsidRPr="00046D73" w:rsidRDefault="00B64E85" w:rsidP="00B64E85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Для проведення аналітичного дослідження були використані матеріали, отримані від міста Суми, у тому числі: показники соціально-економічного розвитку, статистичні дані, казначейська звітність, програмні матеріали, інша необхідна внутрішня інформація, а також інформація з відкритих джерел, яку Рейтингове агентство вважає достовірною.</w:t>
      </w:r>
    </w:p>
    <w:p w:rsidR="00B64E85" w:rsidRPr="00046D73" w:rsidRDefault="00B64E85" w:rsidP="00B64E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</w:pPr>
    </w:p>
    <w:p w:rsidR="00B64E85" w:rsidRPr="00046D73" w:rsidRDefault="00B64E85" w:rsidP="00B64E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</w:pPr>
      <w:r w:rsidRPr="00046D73">
        <w:rPr>
          <w:rFonts w:ascii="Arial" w:eastAsia="Times New Roman" w:hAnsi="Arial" w:cs="Arial"/>
          <w:b/>
          <w:bCs/>
          <w:color w:val="225171"/>
          <w:sz w:val="20"/>
          <w:szCs w:val="20"/>
          <w:bdr w:val="none" w:sz="0" w:space="0" w:color="auto" w:frame="1"/>
          <w:lang w:val="uk-UA" w:eastAsia="ru-RU"/>
        </w:rPr>
        <w:t>Муніципальний департамент</w:t>
      </w:r>
    </w:p>
    <w:p w:rsidR="00B64E85" w:rsidRPr="00046D73" w:rsidRDefault="00B64E85" w:rsidP="00B64E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За додатковою інформацією звертайтесь: </w:t>
      </w:r>
    </w:p>
    <w:p w:rsidR="00B64E85" w:rsidRPr="00046D73" w:rsidRDefault="00B64E85" w:rsidP="00B64E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Прес-служба IBI-</w:t>
      </w:r>
      <w:proofErr w:type="spellStart"/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Rating</w:t>
      </w:r>
      <w:proofErr w:type="spellEnd"/>
    </w:p>
    <w:p w:rsidR="00B64E85" w:rsidRPr="00046D73" w:rsidRDefault="00B64E85" w:rsidP="00B64E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(044) 362-90-84</w:t>
      </w:r>
    </w:p>
    <w:p w:rsidR="00B64E85" w:rsidRPr="00046D73" w:rsidRDefault="00B64E85" w:rsidP="00B64E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</w:pPr>
      <w:proofErr w:type="spellStart"/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press</w:t>
      </w:r>
      <w:proofErr w:type="spellEnd"/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(</w:t>
      </w:r>
      <w:proofErr w:type="spellStart"/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at</w:t>
      </w:r>
      <w:proofErr w:type="spellEnd"/>
      <w:r w:rsidRPr="00046D73">
        <w:rPr>
          <w:rFonts w:ascii="Arial" w:eastAsia="Times New Roman" w:hAnsi="Arial" w:cs="Arial"/>
          <w:color w:val="1F1F1F"/>
          <w:sz w:val="20"/>
          <w:szCs w:val="20"/>
          <w:lang w:val="uk-UA" w:eastAsia="ru-RU"/>
        </w:rPr>
        <w:t>)ibi.com.ua</w:t>
      </w:r>
    </w:p>
    <w:p w:rsidR="001C5F8B" w:rsidRPr="00046D73" w:rsidRDefault="001C5F8B">
      <w:pPr>
        <w:rPr>
          <w:sz w:val="20"/>
          <w:szCs w:val="20"/>
          <w:lang w:val="uk-UA"/>
        </w:rPr>
      </w:pPr>
    </w:p>
    <w:sectPr w:rsidR="001C5F8B" w:rsidRPr="00046D73" w:rsidSect="004F2DFB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00CD"/>
    <w:multiLevelType w:val="hybridMultilevel"/>
    <w:tmpl w:val="BB622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B843B2"/>
    <w:multiLevelType w:val="hybridMultilevel"/>
    <w:tmpl w:val="28603DA8"/>
    <w:lvl w:ilvl="0" w:tplc="E9BEC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9D"/>
    <w:rsid w:val="00046D73"/>
    <w:rsid w:val="000E1B0A"/>
    <w:rsid w:val="001C5F8B"/>
    <w:rsid w:val="004F2DFB"/>
    <w:rsid w:val="00780512"/>
    <w:rsid w:val="00882028"/>
    <w:rsid w:val="00A3226C"/>
    <w:rsid w:val="00B64E85"/>
    <w:rsid w:val="00BF129D"/>
    <w:rsid w:val="00C636EF"/>
    <w:rsid w:val="00D1718F"/>
    <w:rsid w:val="00D93920"/>
    <w:rsid w:val="00F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0C76"/>
  <w15:chartTrackingRefBased/>
  <w15:docId w15:val="{5AB1A160-B417-45C6-A4C4-BC501B9C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E85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4E85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80512"/>
    <w:pPr>
      <w:ind w:left="720"/>
      <w:contextualSpacing/>
    </w:pPr>
  </w:style>
  <w:style w:type="character" w:styleId="a6">
    <w:name w:val="Strong"/>
    <w:basedOn w:val="a0"/>
    <w:uiPriority w:val="22"/>
    <w:qFormat/>
    <w:rsid w:val="00046D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6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Osadcha</dc:creator>
  <cp:keywords/>
  <dc:description/>
  <cp:lastModifiedBy>Anna</cp:lastModifiedBy>
  <cp:revision>13</cp:revision>
  <cp:lastPrinted>2018-12-04T08:54:00Z</cp:lastPrinted>
  <dcterms:created xsi:type="dcterms:W3CDTF">2018-12-03T12:59:00Z</dcterms:created>
  <dcterms:modified xsi:type="dcterms:W3CDTF">2018-12-10T05:03:00Z</dcterms:modified>
</cp:coreProperties>
</file>