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9381"/>
        <w:gridCol w:w="542"/>
      </w:tblGrid>
      <w:tr w:rsidR="00DD3BB8" w:rsidRPr="00694F4A" w:rsidTr="001E2FF0">
        <w:trPr>
          <w:trHeight w:val="862"/>
        </w:trPr>
        <w:tc>
          <w:tcPr>
            <w:tcW w:w="4727" w:type="pct"/>
            <w:shd w:val="clear" w:color="auto" w:fill="auto"/>
          </w:tcPr>
          <w:p w:rsidR="00DD3BB8" w:rsidRPr="00694F4A" w:rsidRDefault="00DD3BB8" w:rsidP="001E2FF0">
            <w:pPr>
              <w:spacing w:before="120" w:after="120"/>
              <w:jc w:val="center"/>
              <w:rPr>
                <w:b/>
                <w:color w:val="969696"/>
                <w:sz w:val="40"/>
                <w:szCs w:val="40"/>
                <w:lang w:val="ru-RU"/>
              </w:rPr>
            </w:pPr>
            <w:r w:rsidRPr="00694F4A">
              <w:rPr>
                <w:noProof/>
                <w:lang w:val="ru-RU"/>
              </w:rPr>
              <w:drawing>
                <wp:inline distT="0" distB="0" distL="0" distR="0" wp14:anchorId="25B6D3BE" wp14:editId="71E5E4F4">
                  <wp:extent cx="2310130" cy="359410"/>
                  <wp:effectExtent l="0" t="0" r="0" b="254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1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pct"/>
            <w:shd w:val="clear" w:color="auto" w:fill="auto"/>
          </w:tcPr>
          <w:p w:rsidR="00DD3BB8" w:rsidRPr="00694F4A" w:rsidRDefault="00DD3BB8" w:rsidP="001E2FF0">
            <w:pPr>
              <w:spacing w:before="120" w:after="120"/>
              <w:jc w:val="center"/>
              <w:rPr>
                <w:b/>
                <w:color w:val="969696"/>
                <w:sz w:val="40"/>
                <w:szCs w:val="40"/>
                <w:lang w:val="ru-RU"/>
              </w:rPr>
            </w:pPr>
          </w:p>
        </w:tc>
      </w:tr>
      <w:tr w:rsidR="00DD3BB8" w:rsidRPr="00694F4A" w:rsidTr="001E2FF0">
        <w:tc>
          <w:tcPr>
            <w:tcW w:w="4727" w:type="pct"/>
            <w:shd w:val="clear" w:color="auto" w:fill="auto"/>
          </w:tcPr>
          <w:p w:rsidR="00DD3BB8" w:rsidRPr="00694F4A" w:rsidRDefault="00DD3BB8" w:rsidP="001E2FF0">
            <w:pPr>
              <w:jc w:val="center"/>
              <w:outlineLvl w:val="1"/>
              <w:rPr>
                <w:b/>
                <w:bCs/>
                <w:smallCaps/>
                <w:color w:val="003366"/>
                <w:lang w:val="ru-RU" w:eastAsia="uk-UA"/>
              </w:rPr>
            </w:pPr>
            <w:r w:rsidRPr="005F2BA8">
              <w:rPr>
                <w:rFonts w:ascii="Myriad Pro" w:hAnsi="Myriad Pro"/>
                <w:b/>
                <w:bCs/>
                <w:smallCaps/>
                <w:color w:val="003366"/>
                <w:lang w:val="ru-RU" w:eastAsia="uk-UA"/>
              </w:rPr>
              <w:t>ПРЕСС-РЕЛИЗ</w:t>
            </w:r>
          </w:p>
        </w:tc>
        <w:tc>
          <w:tcPr>
            <w:tcW w:w="273" w:type="pct"/>
            <w:shd w:val="clear" w:color="auto" w:fill="auto"/>
          </w:tcPr>
          <w:p w:rsidR="00DD3BB8" w:rsidRPr="00694F4A" w:rsidRDefault="00DD3BB8" w:rsidP="001E2FF0">
            <w:pPr>
              <w:jc w:val="center"/>
              <w:rPr>
                <w:b/>
                <w:i/>
                <w:color w:val="003366"/>
                <w:sz w:val="20"/>
                <w:szCs w:val="20"/>
                <w:lang w:val="ru-RU"/>
              </w:rPr>
            </w:pPr>
          </w:p>
        </w:tc>
      </w:tr>
    </w:tbl>
    <w:p w:rsidR="00DD3BB8" w:rsidRPr="00694F4A" w:rsidRDefault="00DD3BB8" w:rsidP="00DD3BB8">
      <w:pPr>
        <w:shd w:val="clear" w:color="auto" w:fill="FFFFFF"/>
        <w:spacing w:before="120" w:after="120"/>
        <w:jc w:val="center"/>
        <w:textAlignment w:val="baseline"/>
        <w:outlineLvl w:val="0"/>
        <w:rPr>
          <w:rFonts w:ascii="Arial" w:hAnsi="Arial" w:cs="Arial"/>
          <w:b/>
          <w:bCs/>
          <w:color w:val="104265"/>
          <w:spacing w:val="11"/>
          <w:kern w:val="36"/>
          <w:lang w:val="ru-RU"/>
        </w:rPr>
      </w:pPr>
      <w:r w:rsidRPr="00694F4A">
        <w:rPr>
          <w:rFonts w:ascii="Arial" w:hAnsi="Arial" w:cs="Arial"/>
          <w:b/>
          <w:bCs/>
          <w:color w:val="104265"/>
          <w:spacing w:val="11"/>
          <w:kern w:val="36"/>
          <w:lang w:val="ru-RU"/>
        </w:rPr>
        <w:t>IBI-</w:t>
      </w:r>
      <w:proofErr w:type="spellStart"/>
      <w:r w:rsidRPr="00694F4A">
        <w:rPr>
          <w:rFonts w:ascii="Arial" w:hAnsi="Arial" w:cs="Arial"/>
          <w:b/>
          <w:bCs/>
          <w:color w:val="104265"/>
          <w:spacing w:val="11"/>
          <w:kern w:val="36"/>
          <w:lang w:val="ru-RU"/>
        </w:rPr>
        <w:t>Rating</w:t>
      </w:r>
      <w:proofErr w:type="spellEnd"/>
      <w:r w:rsidRPr="00694F4A">
        <w:rPr>
          <w:rFonts w:ascii="Arial" w:hAnsi="Arial" w:cs="Arial"/>
          <w:b/>
          <w:bCs/>
          <w:color w:val="104265"/>
          <w:spacing w:val="11"/>
          <w:kern w:val="36"/>
          <w:lang w:val="ru-RU"/>
        </w:rPr>
        <w:t xml:space="preserve"> подтвердило кредитный рейтинг и рейтинг инвестиционной привлекательности города Сумы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Национальное рейтинговое агентство ІВІ-</w:t>
      </w:r>
      <w:proofErr w:type="spellStart"/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Rating</w:t>
      </w:r>
      <w:proofErr w:type="spellEnd"/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сообщает о подтверждении кредитного рейтинга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 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Сумы на уровне </w:t>
      </w:r>
      <w:proofErr w:type="spellStart"/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uaА</w:t>
      </w:r>
      <w:proofErr w:type="spellEnd"/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-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 с прогнозом «стабильный», а также рейтинга инвестиционной привлекательности на уровне </w:t>
      </w:r>
      <w:proofErr w:type="spellStart"/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invА</w:t>
      </w:r>
      <w:proofErr w:type="spellEnd"/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-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Такие уровни рейтингов отображают 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высокую инвестиционную привлекательность и способность города рассчитываться по своим обязательствам. «Стабильный» прогноз, с наиболее высокой долей вероятности, предполагает неизменность рейтинга на горизонте 12 месяцев.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При обновлении рейтингов были учтены: 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  <w:t>1. Структура экономического комплекса города и динамика ключевых показателей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Сумы имеют достаточно мощный промышленный комплекс, что предоставляет дополнительные конкурентные преимущества по сравнению с другими городами Украины. В І полугодии 2019 года против аналогичного периода предыдущего года наблюдался дальнейший рост ряда показателей социально-экономического развития: объем реализованной промышленной продукции вырос на 2,5%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- 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до 11,3 млрд грн., освоенных капитальных инвестиций на 27,6%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- 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до 1,3 млрд грн., розничный товарооборот на 18,9%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- 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до 3,5 млрд грн., объем выполненных строительных работ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на 10,2%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- 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до 404,6 млн грн. В целом большинство показателей состояния экономики и хозяйственного комплекса города (в т. ч. в пересчете на душу населения) превышают или соответствуют средним по стране. 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  <w:t>2. Конкурентные преимущества и недостатки по сравнению с другими городами страны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 Сумах локализованы ключевые органы государственной власти региона. Кроме того, город имеет хорошую логистику, значительное количество учебных заведений (по разным профилям) и развитую обслуживающую, коммунальную и социальную инфраструктуру. При этом, конкуренция для бизнеса и стоимость трудовых ресурсов является ниже, в сравнении со столицей.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  <w:t>3. Эффективность финансовой политики и показатели бюджета</w:t>
      </w:r>
    </w:p>
    <w:p w:rsidR="00DD3BB8" w:rsidRPr="00694F4A" w:rsidRDefault="00DD3BB8" w:rsidP="00DD3BB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 январь-июнь 2019 года в бюджет г. Сумы поступило 1,6 млрд грн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при этом, собственные доходы за соответствующий период увеличились на 7,7%. Поступления в бюджет города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умы умеренно диверсифицированы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 источникам и плательщикам. Показатель налогоспособности бюджета (НДФЛ на 1 жителя) г. Сумы явля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ется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выше среднего по стране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о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тчего бюджет города остается бюджетом-донором, перечисляя в государственный бюджет реверсную дотацию – 55,5 млн грн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за январь-июнь 2019 года, что на 27,3% больше, чем в аналогичном периоде 2018 года.</w:t>
      </w:r>
    </w:p>
    <w:p w:rsidR="00DD3BB8" w:rsidRPr="00694F4A" w:rsidRDefault="00DD3BB8" w:rsidP="00DD3BB8">
      <w:pPr>
        <w:widowControl w:val="0"/>
        <w:tabs>
          <w:tab w:val="num" w:pos="400"/>
        </w:tabs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  <w:t>4. Чувствительность бюджета и экономики города к воздействию негативных факторов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 </w:t>
      </w:r>
    </w:p>
    <w:p w:rsidR="00DD3BB8" w:rsidRPr="00694F4A" w:rsidRDefault="00DD3BB8" w:rsidP="00DD3BB8">
      <w:pPr>
        <w:widowControl w:val="0"/>
        <w:tabs>
          <w:tab w:val="num" w:pos="400"/>
        </w:tabs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 мнению Агентства, влияние негативных факторов на экономику и финансовую состоятельность города остается умеренным - промышленный комплекс частично адаптировался к рискам, которые возникли в связи с военным конфликтом на востоке Украины и введением торговых ограничений между Украиной и РФ.</w:t>
      </w:r>
      <w:r w:rsidRPr="00694F4A">
        <w:rPr>
          <w:rFonts w:ascii="Arial" w:hAnsi="Arial" w:cs="Arial"/>
          <w:sz w:val="20"/>
          <w:szCs w:val="20"/>
          <w:lang w:val="ru-RU"/>
        </w:rPr>
        <w:t xml:space="preserve"> 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Соотношение прямой долговой нагрузки к плановому объему собственных доходов бюджета г. Сумы в 2019 году составило 4,3% (по состоянию на 01.07.2019 г.), что на 0,7 п. п. меньше показателя на 01.01.2019 г.</w:t>
      </w:r>
    </w:p>
    <w:p w:rsidR="00DD3BB8" w:rsidRPr="00694F4A" w:rsidRDefault="00DD3BB8" w:rsidP="00DD3BB8">
      <w:pPr>
        <w:ind w:firstLine="567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  <w:t>5. Действия местных властей в направлении повышения инвестиционного потенциала города</w:t>
      </w:r>
    </w:p>
    <w:p w:rsidR="00DD3BB8" w:rsidRPr="00694F4A" w:rsidRDefault="00DD3BB8" w:rsidP="00DD3BB8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При участии специалистов и общественности, ведется работа по разработке Стратегии развития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 </w:t>
      </w: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Сумы до 2027 года. С 2011 года введен порядок представления, рассмотрения и отслеживания инвестиционных проектов по принципу «Единого инвестиционного окна». Функционирует Совет по вопросам привлечения инвестиций в экономику г. Сумы при городском голове. С целью обеспечения благоприятных условий для привлечения инвестиций в экономику, активизации экономического развития и повышения инвестиционной привлекательности города Сумской городской совет создал Индустриальный парк «Сумы» и утвердил концепцию его развития. Приказом Минэкономразвития от 04.12.2018 г. № 1828 индустриальный парк «Сумы» включено в Реестр индустриальных (промышленных) парков.</w:t>
      </w:r>
    </w:p>
    <w:p w:rsidR="00DD3BB8" w:rsidRPr="00694F4A" w:rsidRDefault="00DD3BB8" w:rsidP="00DD3BB8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Для проведения аналитического исследования были использованы материалы, полученные от города Сумы,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 </w:t>
      </w:r>
    </w:p>
    <w:p w:rsidR="00DD3BB8" w:rsidRDefault="00DD3BB8" w:rsidP="00DD3BB8">
      <w:pPr>
        <w:ind w:firstLine="567"/>
        <w:rPr>
          <w:rFonts w:ascii="Arial" w:hAnsi="Arial" w:cs="Arial"/>
          <w:b/>
          <w:bCs/>
          <w:color w:val="104265"/>
          <w:spacing w:val="11"/>
          <w:kern w:val="36"/>
          <w:sz w:val="20"/>
          <w:szCs w:val="20"/>
          <w:lang w:val="ru-RU"/>
        </w:rPr>
      </w:pPr>
    </w:p>
    <w:p w:rsidR="00DD3BB8" w:rsidRPr="00694F4A" w:rsidRDefault="00DD3BB8" w:rsidP="00DD3BB8">
      <w:pPr>
        <w:ind w:firstLine="567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b/>
          <w:bCs/>
          <w:color w:val="104265"/>
          <w:spacing w:val="11"/>
          <w:kern w:val="36"/>
          <w:sz w:val="20"/>
          <w:szCs w:val="20"/>
          <w:lang w:val="ru-RU"/>
        </w:rPr>
        <w:t>Муниципальный департамент</w:t>
      </w:r>
      <w:r w:rsidRPr="00694F4A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 </w:t>
      </w:r>
    </w:p>
    <w:p w:rsidR="00DD3BB8" w:rsidRPr="00694F4A" w:rsidRDefault="00DD3BB8" w:rsidP="00DD3BB8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94F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 дополнительной информацией обращайтесь: </w:t>
      </w:r>
    </w:p>
    <w:p w:rsidR="00DD3BB8" w:rsidRPr="0076095B" w:rsidRDefault="00DD3BB8" w:rsidP="00DD3BB8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hyperlink r:id="rId5" w:history="1">
        <w:r w:rsidRPr="00694F4A">
          <w:rPr>
            <w:rFonts w:ascii="Arial" w:hAnsi="Arial" w:cs="Arial"/>
            <w:color w:val="000000"/>
            <w:sz w:val="20"/>
            <w:szCs w:val="20"/>
            <w:lang w:val="ru-RU"/>
          </w:rPr>
          <w:t>Пресс</w:t>
        </w:r>
        <w:r w:rsidRPr="0076095B">
          <w:rPr>
            <w:rFonts w:ascii="Arial" w:hAnsi="Arial" w:cs="Arial"/>
            <w:color w:val="000000"/>
            <w:sz w:val="20"/>
            <w:szCs w:val="20"/>
            <w:lang w:val="en-US"/>
          </w:rPr>
          <w:t>-</w:t>
        </w:r>
        <w:r w:rsidRPr="00694F4A">
          <w:rPr>
            <w:rFonts w:ascii="Arial" w:hAnsi="Arial" w:cs="Arial"/>
            <w:color w:val="000000"/>
            <w:sz w:val="20"/>
            <w:szCs w:val="20"/>
            <w:lang w:val="ru-RU"/>
          </w:rPr>
          <w:t>служба</w:t>
        </w:r>
        <w:r w:rsidRPr="0076095B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IBI-Rating</w:t>
        </w:r>
      </w:hyperlink>
      <w:r w:rsidRPr="007609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DD3BB8" w:rsidRPr="0076095B" w:rsidRDefault="00DD3BB8" w:rsidP="00DD3BB8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7609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(044) 362-90-84</w:t>
      </w:r>
    </w:p>
    <w:p w:rsidR="00DD3BB8" w:rsidRPr="0076095B" w:rsidRDefault="00DD3BB8" w:rsidP="00DD3BB8">
      <w:pPr>
        <w:ind w:firstLine="567"/>
        <w:rPr>
          <w:rFonts w:ascii="Arial" w:hAnsi="Arial" w:cs="Arial"/>
          <w:sz w:val="20"/>
          <w:szCs w:val="20"/>
          <w:lang w:val="en-US"/>
        </w:rPr>
      </w:pPr>
      <w:proofErr w:type="gramStart"/>
      <w:r w:rsidRPr="007609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press(</w:t>
      </w:r>
      <w:proofErr w:type="gramEnd"/>
      <w:r w:rsidRPr="007609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at)ibi.com.ua</w:t>
      </w:r>
    </w:p>
    <w:p w:rsidR="00182BCA" w:rsidRPr="00DD3BB8" w:rsidRDefault="00182BCA">
      <w:pPr>
        <w:rPr>
          <w:lang w:val="en-US"/>
        </w:rPr>
      </w:pPr>
      <w:bookmarkStart w:id="0" w:name="_GoBack"/>
      <w:bookmarkEnd w:id="0"/>
    </w:p>
    <w:sectPr w:rsidR="00182BCA" w:rsidRPr="00DD3BB8" w:rsidSect="007C411E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3"/>
    <w:rsid w:val="00182BCA"/>
    <w:rsid w:val="008D1B03"/>
    <w:rsid w:val="00D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5ECC-F38E-4DBD-A3E6-4BBE516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BI-Rating"/>
    <w:qFormat/>
    <w:rsid w:val="00DD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RU/news/informaciya-dlya-zmi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Osadcha</dc:creator>
  <cp:keywords/>
  <dc:description/>
  <cp:lastModifiedBy>Natalia Osadcha</cp:lastModifiedBy>
  <cp:revision>2</cp:revision>
  <dcterms:created xsi:type="dcterms:W3CDTF">2019-12-16T14:04:00Z</dcterms:created>
  <dcterms:modified xsi:type="dcterms:W3CDTF">2019-12-16T14:05:00Z</dcterms:modified>
</cp:coreProperties>
</file>