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3F" w:rsidRPr="00E77F3F" w:rsidRDefault="00E77F3F" w:rsidP="00E77F3F">
      <w:pPr>
        <w:rPr>
          <w:rFonts w:ascii="Arial" w:hAnsi="Arial" w:cs="Arial"/>
          <w:color w:val="1F1F1F"/>
          <w:sz w:val="20"/>
          <w:szCs w:val="20"/>
          <w:u w:val="single"/>
          <w:bdr w:val="none" w:sz="0" w:space="0" w:color="auto" w:frame="1"/>
          <w:shd w:val="clear" w:color="auto" w:fill="FFFFFF"/>
        </w:rPr>
      </w:pPr>
      <w:bookmarkStart w:id="0" w:name="_GoBack"/>
      <w:bookmarkEnd w:id="0"/>
      <w:r>
        <w:rPr>
          <w:rFonts w:ascii="Arial" w:hAnsi="Arial" w:cs="Arial"/>
          <w:color w:val="1F1F1F"/>
          <w:sz w:val="20"/>
          <w:szCs w:val="20"/>
          <w:shd w:val="clear" w:color="auto" w:fill="FFFFFF"/>
        </w:rPr>
        <w:t>National rating agency IBI-Rating informs on affirming of the credit rating of Sumy city at </w:t>
      </w:r>
      <w:proofErr w:type="spellStart"/>
      <w:r>
        <w:rPr>
          <w:rStyle w:val="a3"/>
          <w:rFonts w:ascii="Arial" w:hAnsi="Arial" w:cs="Arial"/>
          <w:color w:val="225171"/>
          <w:sz w:val="20"/>
          <w:szCs w:val="20"/>
          <w:bdr w:val="none" w:sz="0" w:space="0" w:color="auto" w:frame="1"/>
          <w:shd w:val="clear" w:color="auto" w:fill="FFFFFF"/>
        </w:rPr>
        <w:t>uaA</w:t>
      </w:r>
      <w:proofErr w:type="spellEnd"/>
      <w:r>
        <w:rPr>
          <w:rStyle w:val="a3"/>
          <w:rFonts w:ascii="Arial" w:hAnsi="Arial" w:cs="Arial"/>
          <w:color w:val="225171"/>
          <w:sz w:val="20"/>
          <w:szCs w:val="20"/>
          <w:bdr w:val="none" w:sz="0" w:space="0" w:color="auto" w:frame="1"/>
          <w:shd w:val="clear" w:color="auto" w:fill="FFFFFF"/>
        </w:rPr>
        <w:t>-</w:t>
      </w:r>
      <w:r>
        <w:rPr>
          <w:rFonts w:ascii="Arial" w:hAnsi="Arial" w:cs="Arial"/>
          <w:color w:val="1F1F1F"/>
          <w:sz w:val="20"/>
          <w:szCs w:val="20"/>
          <w:shd w:val="clear" w:color="auto" w:fill="FFFFFF"/>
        </w:rPr>
        <w:t> grade with an «evolving» outlook and the rating of investment attractiveness at </w:t>
      </w:r>
      <w:proofErr w:type="spellStart"/>
      <w:r>
        <w:rPr>
          <w:rStyle w:val="a3"/>
          <w:rFonts w:ascii="Arial" w:hAnsi="Arial" w:cs="Arial"/>
          <w:color w:val="225171"/>
          <w:sz w:val="20"/>
          <w:szCs w:val="20"/>
          <w:bdr w:val="none" w:sz="0" w:space="0" w:color="auto" w:frame="1"/>
          <w:shd w:val="clear" w:color="auto" w:fill="FFFFFF"/>
        </w:rPr>
        <w:t>invA</w:t>
      </w:r>
      <w:proofErr w:type="spellEnd"/>
      <w:r>
        <w:rPr>
          <w:rStyle w:val="a3"/>
          <w:rFonts w:ascii="Arial" w:hAnsi="Arial" w:cs="Arial"/>
          <w:color w:val="225171"/>
          <w:sz w:val="20"/>
          <w:szCs w:val="20"/>
          <w:bdr w:val="none" w:sz="0" w:space="0" w:color="auto" w:frame="1"/>
          <w:shd w:val="clear" w:color="auto" w:fill="FFFFFF"/>
        </w:rPr>
        <w:t>- </w:t>
      </w:r>
      <w:r>
        <w:rPr>
          <w:rFonts w:ascii="Arial" w:hAnsi="Arial" w:cs="Arial"/>
          <w:color w:val="1F1F1F"/>
          <w:sz w:val="20"/>
          <w:szCs w:val="20"/>
          <w:shd w:val="clear" w:color="auto" w:fill="FFFFFF"/>
        </w:rPr>
        <w:t>grade.</w:t>
      </w:r>
      <w:r>
        <w:rPr>
          <w:rFonts w:ascii="Arial" w:hAnsi="Arial" w:cs="Arial"/>
          <w:color w:val="1F1F1F"/>
          <w:sz w:val="20"/>
          <w:szCs w:val="20"/>
        </w:rPr>
        <w:br/>
      </w:r>
      <w:r>
        <w:rPr>
          <w:rFonts w:ascii="Arial" w:hAnsi="Arial" w:cs="Arial"/>
          <w:color w:val="1F1F1F"/>
          <w:sz w:val="20"/>
          <w:szCs w:val="20"/>
        </w:rPr>
        <w:br/>
      </w:r>
      <w:r>
        <w:rPr>
          <w:rStyle w:val="a3"/>
          <w:rFonts w:ascii="Arial" w:hAnsi="Arial" w:cs="Arial"/>
          <w:color w:val="225171"/>
          <w:sz w:val="20"/>
          <w:szCs w:val="20"/>
          <w:bdr w:val="none" w:sz="0" w:space="0" w:color="auto" w:frame="1"/>
          <w:shd w:val="clear" w:color="auto" w:fill="FFFFFF"/>
        </w:rPr>
        <w:t>Such rating grades represent </w:t>
      </w:r>
      <w:r>
        <w:rPr>
          <w:rFonts w:ascii="Arial" w:hAnsi="Arial" w:cs="Arial"/>
          <w:color w:val="1F1F1F"/>
          <w:sz w:val="20"/>
          <w:szCs w:val="20"/>
          <w:shd w:val="clear" w:color="auto" w:fill="FFFFFF"/>
        </w:rPr>
        <w:t>the high ability of the city to pay off its financial commitments and high investment attractiveness. </w:t>
      </w:r>
      <w:r>
        <w:rPr>
          <w:rStyle w:val="a3"/>
          <w:rFonts w:ascii="Arial" w:hAnsi="Arial" w:cs="Arial"/>
          <w:color w:val="225171"/>
          <w:sz w:val="20"/>
          <w:szCs w:val="20"/>
          <w:bdr w:val="none" w:sz="0" w:space="0" w:color="auto" w:frame="1"/>
          <w:shd w:val="clear" w:color="auto" w:fill="FFFFFF"/>
        </w:rPr>
        <w:t>The «evolving» outlook</w:t>
      </w:r>
      <w:r>
        <w:rPr>
          <w:rFonts w:ascii="Arial" w:hAnsi="Arial" w:cs="Arial"/>
          <w:color w:val="1F1F1F"/>
          <w:sz w:val="20"/>
          <w:szCs w:val="20"/>
          <w:shd w:val="clear" w:color="auto" w:fill="FFFFFF"/>
        </w:rPr>
        <w:t>, with the highest probability, implies of rating changes during the year. It is due to increased uncertainty regarding the actions of authorities and entities in case of aggravation of the epidemiological situation in Ukraine and the world. </w:t>
      </w:r>
      <w:r>
        <w:rPr>
          <w:rStyle w:val="a3"/>
          <w:rFonts w:ascii="Arial" w:hAnsi="Arial" w:cs="Arial"/>
          <w:color w:val="225171"/>
          <w:sz w:val="20"/>
          <w:szCs w:val="20"/>
          <w:bdr w:val="none" w:sz="0" w:space="0" w:color="auto" w:frame="1"/>
          <w:shd w:val="clear" w:color="auto" w:fill="FFFFFF"/>
        </w:rPr>
        <w:t>The notation «-» indicates</w:t>
      </w:r>
      <w:r>
        <w:rPr>
          <w:rFonts w:ascii="Arial" w:hAnsi="Arial" w:cs="Arial"/>
          <w:color w:val="1F1F1F"/>
          <w:sz w:val="20"/>
          <w:szCs w:val="20"/>
          <w:shd w:val="clear" w:color="auto" w:fill="FFFFFF"/>
        </w:rPr>
        <w:t> an intermediate rating category relative to the main category.</w:t>
      </w:r>
      <w:r>
        <w:rPr>
          <w:rFonts w:ascii="Arial" w:hAnsi="Arial" w:cs="Arial"/>
          <w:color w:val="1F1F1F"/>
          <w:sz w:val="20"/>
          <w:szCs w:val="20"/>
        </w:rPr>
        <w:br/>
      </w:r>
      <w:r>
        <w:rPr>
          <w:rFonts w:ascii="Arial" w:hAnsi="Arial" w:cs="Arial"/>
          <w:b/>
          <w:bCs/>
          <w:color w:val="225171"/>
          <w:sz w:val="20"/>
          <w:szCs w:val="20"/>
          <w:bdr w:val="none" w:sz="0" w:space="0" w:color="auto" w:frame="1"/>
          <w:shd w:val="clear" w:color="auto" w:fill="FFFFFF"/>
        </w:rPr>
        <w:br/>
      </w:r>
      <w:r>
        <w:rPr>
          <w:rStyle w:val="a3"/>
          <w:rFonts w:ascii="Arial" w:hAnsi="Arial" w:cs="Arial"/>
          <w:color w:val="225171"/>
          <w:sz w:val="20"/>
          <w:szCs w:val="20"/>
          <w:bdr w:val="none" w:sz="0" w:space="0" w:color="auto" w:frame="1"/>
          <w:shd w:val="clear" w:color="auto" w:fill="FFFFFF"/>
        </w:rPr>
        <w:t>Were taken into account</w:t>
      </w:r>
      <w:proofErr w:type="gramStart"/>
      <w:r>
        <w:rPr>
          <w:rStyle w:val="a3"/>
          <w:rFonts w:ascii="Arial" w:hAnsi="Arial" w:cs="Arial"/>
          <w:color w:val="225171"/>
          <w:sz w:val="20"/>
          <w:szCs w:val="20"/>
          <w:bdr w:val="none" w:sz="0" w:space="0" w:color="auto" w:frame="1"/>
          <w:shd w:val="clear" w:color="auto" w:fill="FFFFFF"/>
        </w:rPr>
        <w:t>:</w:t>
      </w:r>
      <w:proofErr w:type="gramEnd"/>
      <w:r>
        <w:rPr>
          <w:rFonts w:ascii="Arial" w:hAnsi="Arial" w:cs="Arial"/>
          <w:b/>
          <w:bCs/>
          <w:color w:val="225171"/>
          <w:sz w:val="20"/>
          <w:szCs w:val="20"/>
          <w:bdr w:val="none" w:sz="0" w:space="0" w:color="auto" w:frame="1"/>
          <w:shd w:val="clear" w:color="auto" w:fill="FFFFFF"/>
        </w:rPr>
        <w:br/>
      </w:r>
      <w:r w:rsidRPr="00E77F3F">
        <w:rPr>
          <w:rFonts w:ascii="Arial" w:hAnsi="Arial" w:cs="Arial"/>
          <w:color w:val="1F1F1F"/>
          <w:sz w:val="20"/>
          <w:szCs w:val="20"/>
          <w:u w:val="single"/>
          <w:bdr w:val="none" w:sz="0" w:space="0" w:color="auto" w:frame="1"/>
          <w:shd w:val="clear" w:color="auto" w:fill="FFFFFF"/>
        </w:rPr>
        <w:t>1. The structure of the economic complex of the city and the dynamics of key indicators</w:t>
      </w:r>
    </w:p>
    <w:p w:rsidR="00E77F3F" w:rsidRPr="00E77F3F" w:rsidRDefault="00E77F3F" w:rsidP="00E77F3F">
      <w:pPr>
        <w:rPr>
          <w:rFonts w:ascii="Arial" w:hAnsi="Arial" w:cs="Arial"/>
          <w:color w:val="1F1F1F"/>
          <w:sz w:val="20"/>
          <w:szCs w:val="20"/>
          <w:bdr w:val="none" w:sz="0" w:space="0" w:color="auto" w:frame="1"/>
          <w:shd w:val="clear" w:color="auto" w:fill="FFFFFF"/>
        </w:rPr>
      </w:pPr>
      <w:r w:rsidRPr="00E77F3F">
        <w:rPr>
          <w:rFonts w:ascii="Arial" w:hAnsi="Arial" w:cs="Arial"/>
          <w:color w:val="1F1F1F"/>
          <w:sz w:val="20"/>
          <w:szCs w:val="20"/>
          <w:bdr w:val="none" w:sz="0" w:space="0" w:color="auto" w:frame="1"/>
          <w:shd w:val="clear" w:color="auto" w:fill="FFFFFF"/>
        </w:rPr>
        <w:t xml:space="preserve">Sumy city </w:t>
      </w:r>
      <w:r>
        <w:rPr>
          <w:rFonts w:ascii="Arial" w:hAnsi="Arial" w:cs="Arial"/>
          <w:color w:val="1F1F1F"/>
          <w:sz w:val="20"/>
          <w:szCs w:val="20"/>
          <w:bdr w:val="none" w:sz="0" w:space="0" w:color="auto" w:frame="1"/>
          <w:shd w:val="clear" w:color="auto" w:fill="FFFFFF"/>
        </w:rPr>
        <w:t>U</w:t>
      </w:r>
      <w:r w:rsidRPr="00E77F3F">
        <w:rPr>
          <w:rFonts w:ascii="Arial" w:hAnsi="Arial" w:cs="Arial"/>
          <w:color w:val="1F1F1F"/>
          <w:sz w:val="20"/>
          <w:szCs w:val="20"/>
          <w:bdr w:val="none" w:sz="0" w:space="0" w:color="auto" w:frame="1"/>
          <w:shd w:val="clear" w:color="auto" w:fill="FFFFFF"/>
        </w:rPr>
        <w:t>T</w:t>
      </w:r>
      <w:r>
        <w:rPr>
          <w:rFonts w:ascii="Arial" w:hAnsi="Arial" w:cs="Arial"/>
          <w:color w:val="1F1F1F"/>
          <w:sz w:val="20"/>
          <w:szCs w:val="20"/>
          <w:bdr w:val="none" w:sz="0" w:space="0" w:color="auto" w:frame="1"/>
          <w:shd w:val="clear" w:color="auto" w:fill="FFFFFF"/>
        </w:rPr>
        <w:t>C</w:t>
      </w:r>
      <w:r w:rsidRPr="00E77F3F">
        <w:rPr>
          <w:rFonts w:ascii="Arial" w:hAnsi="Arial" w:cs="Arial"/>
          <w:color w:val="1F1F1F"/>
          <w:sz w:val="20"/>
          <w:szCs w:val="20"/>
          <w:bdr w:val="none" w:sz="0" w:space="0" w:color="auto" w:frame="1"/>
          <w:shd w:val="clear" w:color="auto" w:fill="FFFFFF"/>
        </w:rPr>
        <w:t xml:space="preserve"> has a powerful industrial complex, the volume of sales of industrial products per </w:t>
      </w:r>
      <w:proofErr w:type="gramStart"/>
      <w:r w:rsidRPr="00E77F3F">
        <w:rPr>
          <w:rFonts w:ascii="Arial" w:hAnsi="Arial" w:cs="Arial"/>
          <w:color w:val="1F1F1F"/>
          <w:sz w:val="20"/>
          <w:szCs w:val="20"/>
          <w:bdr w:val="none" w:sz="0" w:space="0" w:color="auto" w:frame="1"/>
          <w:shd w:val="clear" w:color="auto" w:fill="FFFFFF"/>
        </w:rPr>
        <w:t>1</w:t>
      </w:r>
      <w:proofErr w:type="gramEnd"/>
      <w:r w:rsidRPr="00E77F3F">
        <w:rPr>
          <w:rFonts w:ascii="Arial" w:hAnsi="Arial" w:cs="Arial"/>
          <w:color w:val="1F1F1F"/>
          <w:sz w:val="20"/>
          <w:szCs w:val="20"/>
          <w:bdr w:val="none" w:sz="0" w:space="0" w:color="auto" w:frame="1"/>
          <w:shd w:val="clear" w:color="auto" w:fill="FFFFFF"/>
        </w:rPr>
        <w:t xml:space="preserve"> person significantly exceeds the same figure for Ukraine as a whole (according to the results of 3 quarters of this year, this excess was 38.6%). The foreign trade turnover in goods per </w:t>
      </w:r>
      <w:proofErr w:type="gramStart"/>
      <w:r w:rsidRPr="00E77F3F">
        <w:rPr>
          <w:rFonts w:ascii="Arial" w:hAnsi="Arial" w:cs="Arial"/>
          <w:color w:val="1F1F1F"/>
          <w:sz w:val="20"/>
          <w:szCs w:val="20"/>
          <w:bdr w:val="none" w:sz="0" w:space="0" w:color="auto" w:frame="1"/>
          <w:shd w:val="clear" w:color="auto" w:fill="FFFFFF"/>
        </w:rPr>
        <w:t>1</w:t>
      </w:r>
      <w:proofErr w:type="gramEnd"/>
      <w:r w:rsidRPr="00E77F3F">
        <w:rPr>
          <w:rFonts w:ascii="Arial" w:hAnsi="Arial" w:cs="Arial"/>
          <w:color w:val="1F1F1F"/>
          <w:sz w:val="20"/>
          <w:szCs w:val="20"/>
          <w:bdr w:val="none" w:sz="0" w:space="0" w:color="auto" w:frame="1"/>
          <w:shd w:val="clear" w:color="auto" w:fill="FFFFFF"/>
        </w:rPr>
        <w:t xml:space="preserve"> person as of 01.09.2020 amounted to </w:t>
      </w:r>
      <w:r w:rsidR="00573F6F">
        <w:rPr>
          <w:rFonts w:ascii="Arial" w:hAnsi="Arial" w:cs="Arial"/>
          <w:color w:val="1F1F1F"/>
          <w:sz w:val="20"/>
          <w:szCs w:val="20"/>
          <w:bdr w:val="none" w:sz="0" w:space="0" w:color="auto" w:frame="1"/>
          <w:shd w:val="clear" w:color="auto" w:fill="FFFFFF"/>
        </w:rPr>
        <w:t>USD </w:t>
      </w:r>
      <w:r w:rsidRPr="00E77F3F">
        <w:rPr>
          <w:rFonts w:ascii="Arial" w:hAnsi="Arial" w:cs="Arial"/>
          <w:color w:val="1F1F1F"/>
          <w:sz w:val="20"/>
          <w:szCs w:val="20"/>
          <w:bdr w:val="none" w:sz="0" w:space="0" w:color="auto" w:frame="1"/>
          <w:shd w:val="clear" w:color="auto" w:fill="FFFFFF"/>
        </w:rPr>
        <w:t>1</w:t>
      </w:r>
      <w:r w:rsidR="00573F6F" w:rsidRPr="00E77F3F">
        <w:rPr>
          <w:rFonts w:ascii="Arial" w:hAnsi="Arial" w:cs="Arial"/>
          <w:color w:val="1F1F1F"/>
          <w:sz w:val="20"/>
          <w:szCs w:val="20"/>
          <w:bdr w:val="none" w:sz="0" w:space="0" w:color="auto" w:frame="1"/>
          <w:shd w:val="clear" w:color="auto" w:fill="FFFFFF"/>
        </w:rPr>
        <w:t>,</w:t>
      </w:r>
      <w:r w:rsidRPr="00E77F3F">
        <w:rPr>
          <w:rFonts w:ascii="Arial" w:hAnsi="Arial" w:cs="Arial"/>
          <w:color w:val="1F1F1F"/>
          <w:sz w:val="20"/>
          <w:szCs w:val="20"/>
          <w:bdr w:val="none" w:sz="0" w:space="0" w:color="auto" w:frame="1"/>
          <w:shd w:val="clear" w:color="auto" w:fill="FFFFFF"/>
        </w:rPr>
        <w:t>645 which is also higher than in Ukraine as a whole.</w:t>
      </w:r>
    </w:p>
    <w:p w:rsidR="00E77F3F" w:rsidRPr="00E77F3F" w:rsidRDefault="00E77F3F" w:rsidP="00E77F3F">
      <w:pPr>
        <w:rPr>
          <w:rFonts w:ascii="Arial" w:hAnsi="Arial" w:cs="Arial"/>
          <w:color w:val="1F1F1F"/>
          <w:sz w:val="20"/>
          <w:szCs w:val="20"/>
          <w:bdr w:val="none" w:sz="0" w:space="0" w:color="auto" w:frame="1"/>
          <w:shd w:val="clear" w:color="auto" w:fill="FFFFFF"/>
        </w:rPr>
      </w:pPr>
    </w:p>
    <w:p w:rsidR="00E77F3F" w:rsidRPr="00573F6F" w:rsidRDefault="00E77F3F" w:rsidP="00E77F3F">
      <w:pPr>
        <w:rPr>
          <w:rFonts w:ascii="Arial" w:hAnsi="Arial" w:cs="Arial"/>
          <w:color w:val="1F1F1F"/>
          <w:sz w:val="20"/>
          <w:szCs w:val="20"/>
          <w:u w:val="single"/>
          <w:bdr w:val="none" w:sz="0" w:space="0" w:color="auto" w:frame="1"/>
          <w:shd w:val="clear" w:color="auto" w:fill="FFFFFF"/>
        </w:rPr>
      </w:pPr>
      <w:r w:rsidRPr="00573F6F">
        <w:rPr>
          <w:rFonts w:ascii="Arial" w:hAnsi="Arial" w:cs="Arial"/>
          <w:color w:val="1F1F1F"/>
          <w:sz w:val="20"/>
          <w:szCs w:val="20"/>
          <w:u w:val="single"/>
          <w:bdr w:val="none" w:sz="0" w:space="0" w:color="auto" w:frame="1"/>
          <w:shd w:val="clear" w:color="auto" w:fill="FFFFFF"/>
        </w:rPr>
        <w:t>2. Effectiveness of financial policy and budget indicators</w:t>
      </w:r>
    </w:p>
    <w:p w:rsidR="00E77F3F" w:rsidRPr="00E77F3F" w:rsidRDefault="00E77F3F" w:rsidP="00E77F3F">
      <w:pPr>
        <w:rPr>
          <w:rFonts w:ascii="Arial" w:hAnsi="Arial" w:cs="Arial"/>
          <w:color w:val="1F1F1F"/>
          <w:sz w:val="20"/>
          <w:szCs w:val="20"/>
          <w:bdr w:val="none" w:sz="0" w:space="0" w:color="auto" w:frame="1"/>
          <w:shd w:val="clear" w:color="auto" w:fill="FFFFFF"/>
        </w:rPr>
      </w:pPr>
      <w:r w:rsidRPr="00E77F3F">
        <w:rPr>
          <w:rFonts w:ascii="Arial" w:hAnsi="Arial" w:cs="Arial"/>
          <w:color w:val="1F1F1F"/>
          <w:sz w:val="20"/>
          <w:szCs w:val="20"/>
          <w:bdr w:val="none" w:sz="0" w:space="0" w:color="auto" w:frame="1"/>
          <w:shd w:val="clear" w:color="auto" w:fill="FFFFFF"/>
        </w:rPr>
        <w:t xml:space="preserve">Own budget revenues based on the results of 9 months 2020 amounted to UAH 1,411.99 </w:t>
      </w:r>
      <w:proofErr w:type="gramStart"/>
      <w:r w:rsidRPr="00E77F3F">
        <w:rPr>
          <w:rFonts w:ascii="Arial" w:hAnsi="Arial" w:cs="Arial"/>
          <w:color w:val="1F1F1F"/>
          <w:sz w:val="20"/>
          <w:szCs w:val="20"/>
          <w:bdr w:val="none" w:sz="0" w:space="0" w:color="auto" w:frame="1"/>
          <w:shd w:val="clear" w:color="auto" w:fill="FFFFFF"/>
        </w:rPr>
        <w:t>million</w:t>
      </w:r>
      <w:proofErr w:type="gramEnd"/>
      <w:r w:rsidRPr="00E77F3F">
        <w:rPr>
          <w:rFonts w:ascii="Arial" w:hAnsi="Arial" w:cs="Arial"/>
          <w:color w:val="1F1F1F"/>
          <w:sz w:val="20"/>
          <w:szCs w:val="20"/>
          <w:bdr w:val="none" w:sz="0" w:space="0" w:color="auto" w:frame="1"/>
          <w:shd w:val="clear" w:color="auto" w:fill="FFFFFF"/>
        </w:rPr>
        <w:t xml:space="preserve"> (+ 2.9% compared to the same period last year). Budget revenues </w:t>
      </w:r>
      <w:proofErr w:type="gramStart"/>
      <w:r w:rsidRPr="00E77F3F">
        <w:rPr>
          <w:rFonts w:ascii="Arial" w:hAnsi="Arial" w:cs="Arial"/>
          <w:color w:val="1F1F1F"/>
          <w:sz w:val="20"/>
          <w:szCs w:val="20"/>
          <w:bdr w:val="none" w:sz="0" w:space="0" w:color="auto" w:frame="1"/>
          <w:shd w:val="clear" w:color="auto" w:fill="FFFFFF"/>
        </w:rPr>
        <w:t>are moderately diversified</w:t>
      </w:r>
      <w:proofErr w:type="gramEnd"/>
      <w:r w:rsidRPr="00E77F3F">
        <w:rPr>
          <w:rFonts w:ascii="Arial" w:hAnsi="Arial" w:cs="Arial"/>
          <w:color w:val="1F1F1F"/>
          <w:sz w:val="20"/>
          <w:szCs w:val="20"/>
          <w:bdr w:val="none" w:sz="0" w:space="0" w:color="auto" w:frame="1"/>
          <w:shd w:val="clear" w:color="auto" w:fill="FFFFFF"/>
        </w:rPr>
        <w:t xml:space="preserve"> by sources and payers. The tax rate of the budget of Sumy city </w:t>
      </w:r>
      <w:r w:rsidR="00573F6F">
        <w:rPr>
          <w:rFonts w:ascii="Arial" w:hAnsi="Arial" w:cs="Arial"/>
          <w:color w:val="1F1F1F"/>
          <w:sz w:val="20"/>
          <w:szCs w:val="20"/>
          <w:bdr w:val="none" w:sz="0" w:space="0" w:color="auto" w:frame="1"/>
          <w:shd w:val="clear" w:color="auto" w:fill="FFFFFF"/>
        </w:rPr>
        <w:t>U</w:t>
      </w:r>
      <w:r w:rsidR="00573F6F" w:rsidRPr="00E77F3F">
        <w:rPr>
          <w:rFonts w:ascii="Arial" w:hAnsi="Arial" w:cs="Arial"/>
          <w:color w:val="1F1F1F"/>
          <w:sz w:val="20"/>
          <w:szCs w:val="20"/>
          <w:bdr w:val="none" w:sz="0" w:space="0" w:color="auto" w:frame="1"/>
          <w:shd w:val="clear" w:color="auto" w:fill="FFFFFF"/>
        </w:rPr>
        <w:t>T</w:t>
      </w:r>
      <w:r w:rsidR="00573F6F">
        <w:rPr>
          <w:rFonts w:ascii="Arial" w:hAnsi="Arial" w:cs="Arial"/>
          <w:color w:val="1F1F1F"/>
          <w:sz w:val="20"/>
          <w:szCs w:val="20"/>
          <w:bdr w:val="none" w:sz="0" w:space="0" w:color="auto" w:frame="1"/>
          <w:shd w:val="clear" w:color="auto" w:fill="FFFFFF"/>
        </w:rPr>
        <w:t>C</w:t>
      </w:r>
      <w:r w:rsidRPr="00E77F3F">
        <w:rPr>
          <w:rFonts w:ascii="Arial" w:hAnsi="Arial" w:cs="Arial"/>
          <w:color w:val="1F1F1F"/>
          <w:sz w:val="20"/>
          <w:szCs w:val="20"/>
          <w:bdr w:val="none" w:sz="0" w:space="0" w:color="auto" w:frame="1"/>
          <w:shd w:val="clear" w:color="auto" w:fill="FFFFFF"/>
        </w:rPr>
        <w:t xml:space="preserve"> (personal income tax per capita) is higher than the national average, due to which the budget remains a donor budget, transferring a reverse subsidy to the state budget (in the amount of UAH 81,087.30 thousand for 9 months of 2020). The debt burden on the budget of Sumy city </w:t>
      </w:r>
      <w:r w:rsidR="00573F6F">
        <w:rPr>
          <w:rFonts w:ascii="Arial" w:hAnsi="Arial" w:cs="Arial"/>
          <w:color w:val="1F1F1F"/>
          <w:sz w:val="20"/>
          <w:szCs w:val="20"/>
          <w:bdr w:val="none" w:sz="0" w:space="0" w:color="auto" w:frame="1"/>
          <w:shd w:val="clear" w:color="auto" w:fill="FFFFFF"/>
        </w:rPr>
        <w:t>U</w:t>
      </w:r>
      <w:r w:rsidR="00573F6F" w:rsidRPr="00E77F3F">
        <w:rPr>
          <w:rFonts w:ascii="Arial" w:hAnsi="Arial" w:cs="Arial"/>
          <w:color w:val="1F1F1F"/>
          <w:sz w:val="20"/>
          <w:szCs w:val="20"/>
          <w:bdr w:val="none" w:sz="0" w:space="0" w:color="auto" w:frame="1"/>
          <w:shd w:val="clear" w:color="auto" w:fill="FFFFFF"/>
        </w:rPr>
        <w:t>T</w:t>
      </w:r>
      <w:r w:rsidR="00573F6F">
        <w:rPr>
          <w:rFonts w:ascii="Arial" w:hAnsi="Arial" w:cs="Arial"/>
          <w:color w:val="1F1F1F"/>
          <w:sz w:val="20"/>
          <w:szCs w:val="20"/>
          <w:bdr w:val="none" w:sz="0" w:space="0" w:color="auto" w:frame="1"/>
          <w:shd w:val="clear" w:color="auto" w:fill="FFFFFF"/>
        </w:rPr>
        <w:t>C</w:t>
      </w:r>
      <w:r w:rsidRPr="00E77F3F">
        <w:rPr>
          <w:rFonts w:ascii="Arial" w:hAnsi="Arial" w:cs="Arial"/>
          <w:color w:val="1F1F1F"/>
          <w:sz w:val="20"/>
          <w:szCs w:val="20"/>
          <w:bdr w:val="none" w:sz="0" w:space="0" w:color="auto" w:frame="1"/>
          <w:shd w:val="clear" w:color="auto" w:fill="FFFFFF"/>
        </w:rPr>
        <w:t xml:space="preserve"> remains low, which allows the city authorities to count on additional financial resources to finance socio-economic development activities and infrastructure projects. The ratio of consolidated debt to the planned budget revenues for 2020 as of October 1, 2020 was 4.9%.</w:t>
      </w:r>
    </w:p>
    <w:p w:rsidR="00E77F3F" w:rsidRPr="00E77F3F" w:rsidRDefault="00E77F3F" w:rsidP="00E77F3F">
      <w:pPr>
        <w:rPr>
          <w:rFonts w:ascii="Arial" w:hAnsi="Arial" w:cs="Arial"/>
          <w:color w:val="1F1F1F"/>
          <w:sz w:val="20"/>
          <w:szCs w:val="20"/>
          <w:bdr w:val="none" w:sz="0" w:space="0" w:color="auto" w:frame="1"/>
          <w:shd w:val="clear" w:color="auto" w:fill="FFFFFF"/>
        </w:rPr>
      </w:pPr>
    </w:p>
    <w:p w:rsidR="00E77F3F" w:rsidRPr="00573F6F" w:rsidRDefault="00E77F3F" w:rsidP="00E77F3F">
      <w:pPr>
        <w:rPr>
          <w:rFonts w:ascii="Arial" w:hAnsi="Arial" w:cs="Arial"/>
          <w:color w:val="1F1F1F"/>
          <w:sz w:val="20"/>
          <w:szCs w:val="20"/>
          <w:u w:val="single"/>
          <w:bdr w:val="none" w:sz="0" w:space="0" w:color="auto" w:frame="1"/>
          <w:shd w:val="clear" w:color="auto" w:fill="FFFFFF"/>
        </w:rPr>
      </w:pPr>
      <w:r w:rsidRPr="00573F6F">
        <w:rPr>
          <w:rFonts w:ascii="Arial" w:hAnsi="Arial" w:cs="Arial"/>
          <w:color w:val="1F1F1F"/>
          <w:sz w:val="20"/>
          <w:szCs w:val="20"/>
          <w:u w:val="single"/>
          <w:bdr w:val="none" w:sz="0" w:space="0" w:color="auto" w:frame="1"/>
          <w:shd w:val="clear" w:color="auto" w:fill="FFFFFF"/>
        </w:rPr>
        <w:t>3. Investment potential of the city</w:t>
      </w:r>
    </w:p>
    <w:p w:rsidR="00E77F3F" w:rsidRDefault="00E77F3F" w:rsidP="00E77F3F">
      <w:pPr>
        <w:rPr>
          <w:rFonts w:ascii="Arial" w:hAnsi="Arial" w:cs="Arial"/>
          <w:color w:val="1F1F1F"/>
          <w:sz w:val="20"/>
          <w:szCs w:val="20"/>
          <w:shd w:val="clear" w:color="auto" w:fill="FFFFFF"/>
        </w:rPr>
      </w:pPr>
      <w:r w:rsidRPr="00E77F3F">
        <w:rPr>
          <w:rFonts w:ascii="Arial" w:hAnsi="Arial" w:cs="Arial"/>
          <w:color w:val="1F1F1F"/>
          <w:sz w:val="20"/>
          <w:szCs w:val="20"/>
          <w:bdr w:val="none" w:sz="0" w:space="0" w:color="auto" w:frame="1"/>
          <w:shd w:val="clear" w:color="auto" w:fill="FFFFFF"/>
        </w:rPr>
        <w:t xml:space="preserve">The city of Sumy has a developed road transport infrastructure. There is a large railway station in the city; </w:t>
      </w:r>
      <w:proofErr w:type="gramStart"/>
      <w:r w:rsidRPr="00E77F3F">
        <w:rPr>
          <w:rFonts w:ascii="Arial" w:hAnsi="Arial" w:cs="Arial"/>
          <w:color w:val="1F1F1F"/>
          <w:sz w:val="20"/>
          <w:szCs w:val="20"/>
          <w:bdr w:val="none" w:sz="0" w:space="0" w:color="auto" w:frame="1"/>
          <w:shd w:val="clear" w:color="auto" w:fill="FFFFFF"/>
        </w:rPr>
        <w:t>2</w:t>
      </w:r>
      <w:proofErr w:type="gramEnd"/>
      <w:r w:rsidRPr="00E77F3F">
        <w:rPr>
          <w:rFonts w:ascii="Arial" w:hAnsi="Arial" w:cs="Arial"/>
          <w:color w:val="1F1F1F"/>
          <w:sz w:val="20"/>
          <w:szCs w:val="20"/>
          <w:bdr w:val="none" w:sz="0" w:space="0" w:color="auto" w:frame="1"/>
          <w:shd w:val="clear" w:color="auto" w:fill="FFFFFF"/>
        </w:rPr>
        <w:t xml:space="preserve"> highways of national importance and 2 highways of regional significance pass through the city. Sumy city </w:t>
      </w:r>
      <w:r w:rsidR="00573F6F">
        <w:rPr>
          <w:rFonts w:ascii="Arial" w:hAnsi="Arial" w:cs="Arial"/>
          <w:color w:val="1F1F1F"/>
          <w:sz w:val="20"/>
          <w:szCs w:val="20"/>
          <w:bdr w:val="none" w:sz="0" w:space="0" w:color="auto" w:frame="1"/>
          <w:shd w:val="clear" w:color="auto" w:fill="FFFFFF"/>
        </w:rPr>
        <w:t>U</w:t>
      </w:r>
      <w:r w:rsidR="00573F6F" w:rsidRPr="00E77F3F">
        <w:rPr>
          <w:rFonts w:ascii="Arial" w:hAnsi="Arial" w:cs="Arial"/>
          <w:color w:val="1F1F1F"/>
          <w:sz w:val="20"/>
          <w:szCs w:val="20"/>
          <w:bdr w:val="none" w:sz="0" w:space="0" w:color="auto" w:frame="1"/>
          <w:shd w:val="clear" w:color="auto" w:fill="FFFFFF"/>
        </w:rPr>
        <w:t>T</w:t>
      </w:r>
      <w:r w:rsidR="00573F6F">
        <w:rPr>
          <w:rFonts w:ascii="Arial" w:hAnsi="Arial" w:cs="Arial"/>
          <w:color w:val="1F1F1F"/>
          <w:sz w:val="20"/>
          <w:szCs w:val="20"/>
          <w:bdr w:val="none" w:sz="0" w:space="0" w:color="auto" w:frame="1"/>
          <w:shd w:val="clear" w:color="auto" w:fill="FFFFFF"/>
        </w:rPr>
        <w:t>C</w:t>
      </w:r>
      <w:r w:rsidRPr="00E77F3F">
        <w:rPr>
          <w:rFonts w:ascii="Arial" w:hAnsi="Arial" w:cs="Arial"/>
          <w:color w:val="1F1F1F"/>
          <w:sz w:val="20"/>
          <w:szCs w:val="20"/>
          <w:bdr w:val="none" w:sz="0" w:space="0" w:color="auto" w:frame="1"/>
          <w:shd w:val="clear" w:color="auto" w:fill="FFFFFF"/>
        </w:rPr>
        <w:t xml:space="preserve"> has </w:t>
      </w:r>
      <w:proofErr w:type="gramStart"/>
      <w:r w:rsidRPr="00E77F3F">
        <w:rPr>
          <w:rFonts w:ascii="Arial" w:hAnsi="Arial" w:cs="Arial"/>
          <w:color w:val="1F1F1F"/>
          <w:sz w:val="20"/>
          <w:szCs w:val="20"/>
          <w:bdr w:val="none" w:sz="0" w:space="0" w:color="auto" w:frame="1"/>
          <w:shd w:val="clear" w:color="auto" w:fill="FFFFFF"/>
        </w:rPr>
        <w:t>a strong</w:t>
      </w:r>
      <w:proofErr w:type="gramEnd"/>
      <w:r w:rsidRPr="00E77F3F">
        <w:rPr>
          <w:rFonts w:ascii="Arial" w:hAnsi="Arial" w:cs="Arial"/>
          <w:color w:val="1F1F1F"/>
          <w:sz w:val="20"/>
          <w:szCs w:val="20"/>
          <w:bdr w:val="none" w:sz="0" w:space="0" w:color="auto" w:frame="1"/>
          <w:shd w:val="clear" w:color="auto" w:fill="FFFFFF"/>
        </w:rPr>
        <w:t xml:space="preserve"> human resources. At the same time, competition for business and the cost of labor resources </w:t>
      </w:r>
      <w:proofErr w:type="gramStart"/>
      <w:r w:rsidRPr="00E77F3F">
        <w:rPr>
          <w:rFonts w:ascii="Arial" w:hAnsi="Arial" w:cs="Arial"/>
          <w:color w:val="1F1F1F"/>
          <w:sz w:val="20"/>
          <w:szCs w:val="20"/>
          <w:bdr w:val="none" w:sz="0" w:space="0" w:color="auto" w:frame="1"/>
          <w:shd w:val="clear" w:color="auto" w:fill="FFFFFF"/>
        </w:rPr>
        <w:t>is lower compared</w:t>
      </w:r>
      <w:proofErr w:type="gramEnd"/>
      <w:r w:rsidRPr="00E77F3F">
        <w:rPr>
          <w:rFonts w:ascii="Arial" w:hAnsi="Arial" w:cs="Arial"/>
          <w:color w:val="1F1F1F"/>
          <w:sz w:val="20"/>
          <w:szCs w:val="20"/>
          <w:bdr w:val="none" w:sz="0" w:space="0" w:color="auto" w:frame="1"/>
          <w:shd w:val="clear" w:color="auto" w:fill="FFFFFF"/>
        </w:rPr>
        <w:t xml:space="preserve"> to the capital and most regional centers of Ukraine. Trade, industrial and business infrastructure are developed. Work is underway to create the Sumy Industrial Park. Considerable attention </w:t>
      </w:r>
      <w:proofErr w:type="gramStart"/>
      <w:r w:rsidRPr="00E77F3F">
        <w:rPr>
          <w:rFonts w:ascii="Arial" w:hAnsi="Arial" w:cs="Arial"/>
          <w:color w:val="1F1F1F"/>
          <w:sz w:val="20"/>
          <w:szCs w:val="20"/>
          <w:bdr w:val="none" w:sz="0" w:space="0" w:color="auto" w:frame="1"/>
          <w:shd w:val="clear" w:color="auto" w:fill="FFFFFF"/>
        </w:rPr>
        <w:t>is paid</w:t>
      </w:r>
      <w:proofErr w:type="gramEnd"/>
      <w:r w:rsidRPr="00E77F3F">
        <w:rPr>
          <w:rFonts w:ascii="Arial" w:hAnsi="Arial" w:cs="Arial"/>
          <w:color w:val="1F1F1F"/>
          <w:sz w:val="20"/>
          <w:szCs w:val="20"/>
          <w:bdr w:val="none" w:sz="0" w:space="0" w:color="auto" w:frame="1"/>
          <w:shd w:val="clear" w:color="auto" w:fill="FFFFFF"/>
        </w:rPr>
        <w:t xml:space="preserve"> to measures to improve the energy efficiency of the urban economy.</w:t>
      </w:r>
      <w:r w:rsidRPr="00E77F3F">
        <w:rPr>
          <w:rFonts w:ascii="Arial" w:hAnsi="Arial" w:cs="Arial"/>
          <w:color w:val="1F1F1F"/>
          <w:sz w:val="20"/>
          <w:szCs w:val="20"/>
        </w:rPr>
        <w:br/>
      </w:r>
      <w:r w:rsidRPr="00E77F3F">
        <w:rPr>
          <w:rFonts w:ascii="Arial" w:hAnsi="Arial" w:cs="Arial"/>
          <w:color w:val="1F1F1F"/>
          <w:sz w:val="20"/>
          <w:szCs w:val="20"/>
        </w:rPr>
        <w:br/>
      </w:r>
      <w:r w:rsidRPr="00E77F3F">
        <w:rPr>
          <w:rFonts w:ascii="Arial" w:hAnsi="Arial" w:cs="Arial"/>
          <w:color w:val="1F1F1F"/>
          <w:sz w:val="20"/>
          <w:szCs w:val="20"/>
          <w:shd w:val="clear" w:color="auto" w:fill="FFFFFF"/>
        </w:rPr>
        <w:t xml:space="preserve">In addition, significant work </w:t>
      </w:r>
      <w:proofErr w:type="gramStart"/>
      <w:r w:rsidRPr="00E77F3F">
        <w:rPr>
          <w:rFonts w:ascii="Arial" w:hAnsi="Arial" w:cs="Arial"/>
          <w:color w:val="1F1F1F"/>
          <w:sz w:val="20"/>
          <w:szCs w:val="20"/>
          <w:shd w:val="clear" w:color="auto" w:fill="FFFFFF"/>
        </w:rPr>
        <w:t>has been done</w:t>
      </w:r>
      <w:proofErr w:type="gramEnd"/>
      <w:r w:rsidRPr="00E77F3F">
        <w:rPr>
          <w:rFonts w:ascii="Arial" w:hAnsi="Arial" w:cs="Arial"/>
          <w:color w:val="1F1F1F"/>
          <w:sz w:val="20"/>
          <w:szCs w:val="20"/>
          <w:shd w:val="clear" w:color="auto" w:fill="FFFFFF"/>
        </w:rPr>
        <w:t xml:space="preserve"> to increase publicity and improve the investment climate. In order to conduct the analytical research the materials obtained from Sumy city </w:t>
      </w:r>
      <w:proofErr w:type="gramStart"/>
      <w:r w:rsidRPr="00E77F3F">
        <w:rPr>
          <w:rFonts w:ascii="Arial" w:hAnsi="Arial" w:cs="Arial"/>
          <w:color w:val="1F1F1F"/>
          <w:sz w:val="20"/>
          <w:szCs w:val="20"/>
          <w:shd w:val="clear" w:color="auto" w:fill="FFFFFF"/>
        </w:rPr>
        <w:t>have been used</w:t>
      </w:r>
      <w:proofErr w:type="gramEnd"/>
      <w:r w:rsidRPr="00E77F3F">
        <w:rPr>
          <w:rFonts w:ascii="Arial" w:hAnsi="Arial" w:cs="Arial"/>
          <w:color w:val="1F1F1F"/>
          <w:sz w:val="20"/>
          <w:szCs w:val="20"/>
          <w:shd w:val="clear" w:color="auto" w:fill="FFFFFF"/>
        </w:rPr>
        <w:t>, including: indicators of the social and economic development, statistical data, treasury statements, program materials, other necessary internal info</w:t>
      </w:r>
      <w:r>
        <w:rPr>
          <w:rFonts w:ascii="Arial" w:hAnsi="Arial" w:cs="Arial"/>
          <w:color w:val="1F1F1F"/>
          <w:sz w:val="20"/>
          <w:szCs w:val="20"/>
          <w:shd w:val="clear" w:color="auto" w:fill="FFFFFF"/>
        </w:rPr>
        <w:t>rmation, as well as the information from the public sources, which the Rating agency considers credible.</w:t>
      </w:r>
      <w:r>
        <w:rPr>
          <w:rFonts w:ascii="Arial" w:hAnsi="Arial" w:cs="Arial"/>
          <w:color w:val="1F1F1F"/>
          <w:sz w:val="20"/>
          <w:szCs w:val="20"/>
        </w:rPr>
        <w:br/>
      </w:r>
      <w:r>
        <w:rPr>
          <w:rFonts w:ascii="Arial" w:hAnsi="Arial" w:cs="Arial"/>
          <w:b/>
          <w:bCs/>
          <w:color w:val="225171"/>
          <w:sz w:val="20"/>
          <w:szCs w:val="20"/>
          <w:bdr w:val="none" w:sz="0" w:space="0" w:color="auto" w:frame="1"/>
          <w:shd w:val="clear" w:color="auto" w:fill="FFFFFF"/>
        </w:rPr>
        <w:br/>
      </w:r>
      <w:r>
        <w:rPr>
          <w:rStyle w:val="a3"/>
          <w:rFonts w:ascii="Arial" w:hAnsi="Arial" w:cs="Arial"/>
          <w:color w:val="225171"/>
          <w:sz w:val="20"/>
          <w:szCs w:val="20"/>
          <w:bdr w:val="none" w:sz="0" w:space="0" w:color="auto" w:frame="1"/>
          <w:shd w:val="clear" w:color="auto" w:fill="FFFFFF"/>
        </w:rPr>
        <w:t>Municipal department</w:t>
      </w:r>
      <w:r>
        <w:rPr>
          <w:rFonts w:ascii="Arial" w:hAnsi="Arial" w:cs="Arial"/>
          <w:color w:val="1F1F1F"/>
          <w:sz w:val="20"/>
          <w:szCs w:val="20"/>
        </w:rPr>
        <w:br/>
      </w:r>
      <w:r>
        <w:rPr>
          <w:rFonts w:ascii="Arial" w:hAnsi="Arial" w:cs="Arial"/>
          <w:color w:val="1F1F1F"/>
          <w:sz w:val="20"/>
          <w:szCs w:val="20"/>
          <w:shd w:val="clear" w:color="auto" w:fill="FFFFFF"/>
        </w:rPr>
        <w:t>For more information please contact</w:t>
      </w:r>
      <w:proofErr w:type="gramStart"/>
      <w:r>
        <w:rPr>
          <w:rFonts w:ascii="Arial" w:hAnsi="Arial" w:cs="Arial"/>
          <w:color w:val="1F1F1F"/>
          <w:sz w:val="20"/>
          <w:szCs w:val="20"/>
          <w:shd w:val="clear" w:color="auto" w:fill="FFFFFF"/>
        </w:rPr>
        <w:t>:</w:t>
      </w:r>
      <w:proofErr w:type="gramEnd"/>
      <w:r>
        <w:rPr>
          <w:rFonts w:ascii="Arial" w:hAnsi="Arial" w:cs="Arial"/>
          <w:color w:val="1F1F1F"/>
          <w:sz w:val="20"/>
          <w:szCs w:val="20"/>
        </w:rPr>
        <w:br/>
      </w:r>
      <w:hyperlink r:id="rId4" w:history="1">
        <w:r>
          <w:rPr>
            <w:rStyle w:val="a4"/>
            <w:rFonts w:ascii="Arial" w:hAnsi="Arial" w:cs="Arial"/>
            <w:color w:val="09234E"/>
            <w:sz w:val="20"/>
            <w:szCs w:val="20"/>
            <w:bdr w:val="none" w:sz="0" w:space="0" w:color="auto" w:frame="1"/>
            <w:shd w:val="clear" w:color="auto" w:fill="FFFFFF"/>
          </w:rPr>
          <w:t>Press service of IBI-Rating</w:t>
        </w:r>
      </w:hyperlink>
      <w:r>
        <w:rPr>
          <w:rFonts w:ascii="Arial" w:hAnsi="Arial" w:cs="Arial"/>
          <w:color w:val="1F1F1F"/>
          <w:sz w:val="20"/>
          <w:szCs w:val="20"/>
        </w:rPr>
        <w:br/>
      </w:r>
      <w:r>
        <w:rPr>
          <w:rFonts w:ascii="Arial" w:hAnsi="Arial" w:cs="Arial"/>
          <w:color w:val="1F1F1F"/>
          <w:sz w:val="20"/>
          <w:szCs w:val="20"/>
          <w:shd w:val="clear" w:color="auto" w:fill="FFFFFF"/>
        </w:rPr>
        <w:t>(044) 362-90-84</w:t>
      </w:r>
      <w:r>
        <w:rPr>
          <w:rFonts w:ascii="Arial" w:hAnsi="Arial" w:cs="Arial"/>
          <w:color w:val="1F1F1F"/>
          <w:sz w:val="20"/>
          <w:szCs w:val="20"/>
        </w:rPr>
        <w:br/>
      </w:r>
      <w:r>
        <w:rPr>
          <w:rFonts w:ascii="Arial" w:hAnsi="Arial" w:cs="Arial"/>
          <w:color w:val="1F1F1F"/>
          <w:sz w:val="20"/>
          <w:szCs w:val="20"/>
          <w:shd w:val="clear" w:color="auto" w:fill="FFFFFF"/>
        </w:rPr>
        <w:t>press(at)ibi.com.ua</w:t>
      </w:r>
    </w:p>
    <w:p w:rsidR="00E77F3F" w:rsidRDefault="00E77F3F">
      <w:pPr>
        <w:rPr>
          <w:rFonts w:ascii="Arial" w:hAnsi="Arial" w:cs="Arial"/>
          <w:color w:val="1F1F1F"/>
          <w:sz w:val="20"/>
          <w:szCs w:val="20"/>
          <w:shd w:val="clear" w:color="auto" w:fill="FFFFFF"/>
        </w:rPr>
      </w:pPr>
    </w:p>
    <w:p w:rsidR="00E77F3F" w:rsidRPr="00E77F3F" w:rsidRDefault="00E77F3F">
      <w:pPr>
        <w:rPr>
          <w:rFonts w:ascii="Arial" w:hAnsi="Arial" w:cs="Arial"/>
          <w:color w:val="1F1F1F"/>
          <w:sz w:val="20"/>
          <w:szCs w:val="20"/>
          <w:shd w:val="clear" w:color="auto" w:fill="FFFFFF"/>
        </w:rPr>
      </w:pPr>
    </w:p>
    <w:p w:rsidR="007C41FF" w:rsidRPr="00E77F3F" w:rsidRDefault="00E77F3F">
      <w:pPr>
        <w:rPr>
          <w:lang w:val="ru-RU"/>
        </w:rPr>
      </w:pPr>
      <w:r w:rsidRPr="00E77F3F">
        <w:rPr>
          <w:rFonts w:ascii="Arial" w:hAnsi="Arial" w:cs="Arial"/>
          <w:color w:val="1F1F1F"/>
          <w:sz w:val="20"/>
          <w:szCs w:val="20"/>
          <w:shd w:val="clear" w:color="auto" w:fill="FFFFFF"/>
          <w:lang w:val="ru-RU"/>
        </w:rPr>
        <w:lastRenderedPageBreak/>
        <w:t>Национальное рейтинговое агентство ІВІ-</w:t>
      </w:r>
      <w:r>
        <w:rPr>
          <w:rFonts w:ascii="Arial" w:hAnsi="Arial" w:cs="Arial"/>
          <w:color w:val="1F1F1F"/>
          <w:sz w:val="20"/>
          <w:szCs w:val="20"/>
          <w:shd w:val="clear" w:color="auto" w:fill="FFFFFF"/>
        </w:rPr>
        <w:t>Rating</w:t>
      </w:r>
      <w:r w:rsidRPr="00E77F3F">
        <w:rPr>
          <w:rFonts w:ascii="Arial" w:hAnsi="Arial" w:cs="Arial"/>
          <w:color w:val="1F1F1F"/>
          <w:sz w:val="20"/>
          <w:szCs w:val="20"/>
          <w:shd w:val="clear" w:color="auto" w:fill="FFFFFF"/>
          <w:lang w:val="ru-RU"/>
        </w:rPr>
        <w:t xml:space="preserve"> сообщает о подтверждении кредитного рейтинга г. Сумы на уровне</w:t>
      </w:r>
      <w:r>
        <w:rPr>
          <w:rFonts w:ascii="Arial" w:hAnsi="Arial" w:cs="Arial"/>
          <w:color w:val="1F1F1F"/>
          <w:sz w:val="20"/>
          <w:szCs w:val="20"/>
          <w:shd w:val="clear" w:color="auto" w:fill="FFFFFF"/>
        </w:rPr>
        <w:t> </w:t>
      </w:r>
      <w:r>
        <w:rPr>
          <w:rStyle w:val="a3"/>
          <w:rFonts w:ascii="Arial" w:hAnsi="Arial" w:cs="Arial"/>
          <w:color w:val="225171"/>
          <w:sz w:val="20"/>
          <w:szCs w:val="20"/>
          <w:bdr w:val="none" w:sz="0" w:space="0" w:color="auto" w:frame="1"/>
          <w:shd w:val="clear" w:color="auto" w:fill="FFFFFF"/>
        </w:rPr>
        <w:t>ua</w:t>
      </w:r>
      <w:r w:rsidRPr="00E77F3F">
        <w:rPr>
          <w:rStyle w:val="a3"/>
          <w:rFonts w:ascii="Arial" w:hAnsi="Arial" w:cs="Arial"/>
          <w:color w:val="225171"/>
          <w:sz w:val="20"/>
          <w:szCs w:val="20"/>
          <w:bdr w:val="none" w:sz="0" w:space="0" w:color="auto" w:frame="1"/>
          <w:shd w:val="clear" w:color="auto" w:fill="FFFFFF"/>
          <w:lang w:val="ru-RU"/>
        </w:rPr>
        <w:t>А-</w:t>
      </w:r>
      <w:r>
        <w:rPr>
          <w:rFonts w:ascii="Arial" w:hAnsi="Arial" w:cs="Arial"/>
          <w:color w:val="1F1F1F"/>
          <w:sz w:val="20"/>
          <w:szCs w:val="20"/>
          <w:shd w:val="clear" w:color="auto" w:fill="FFFFFF"/>
        </w:rPr>
        <w:t> </w:t>
      </w:r>
      <w:r w:rsidRPr="00E77F3F">
        <w:rPr>
          <w:rFonts w:ascii="Arial" w:hAnsi="Arial" w:cs="Arial"/>
          <w:color w:val="1F1F1F"/>
          <w:sz w:val="20"/>
          <w:szCs w:val="20"/>
          <w:shd w:val="clear" w:color="auto" w:fill="FFFFFF"/>
          <w:lang w:val="ru-RU"/>
        </w:rPr>
        <w:t>с прогнозом</w:t>
      </w:r>
      <w:r>
        <w:rPr>
          <w:rFonts w:ascii="Arial" w:hAnsi="Arial" w:cs="Arial"/>
          <w:color w:val="1F1F1F"/>
          <w:sz w:val="20"/>
          <w:szCs w:val="20"/>
          <w:shd w:val="clear" w:color="auto" w:fill="FFFFFF"/>
        </w:rPr>
        <w:t> </w:t>
      </w:r>
      <w:r w:rsidRPr="00E77F3F">
        <w:rPr>
          <w:rStyle w:val="a3"/>
          <w:rFonts w:ascii="Arial" w:hAnsi="Arial" w:cs="Arial"/>
          <w:color w:val="225171"/>
          <w:sz w:val="20"/>
          <w:szCs w:val="20"/>
          <w:bdr w:val="none" w:sz="0" w:space="0" w:color="auto" w:frame="1"/>
          <w:shd w:val="clear" w:color="auto" w:fill="FFFFFF"/>
          <w:lang w:val="ru-RU"/>
        </w:rPr>
        <w:t>«в развитии»</w:t>
      </w:r>
      <w:r w:rsidRPr="00E77F3F">
        <w:rPr>
          <w:rFonts w:ascii="Arial" w:hAnsi="Arial" w:cs="Arial"/>
          <w:color w:val="1F1F1F"/>
          <w:sz w:val="20"/>
          <w:szCs w:val="20"/>
          <w:shd w:val="clear" w:color="auto" w:fill="FFFFFF"/>
          <w:lang w:val="ru-RU"/>
        </w:rPr>
        <w:t>, а также рейтинга инвестиционной привлекательности на уровне</w:t>
      </w:r>
      <w:r>
        <w:rPr>
          <w:rFonts w:ascii="Arial" w:hAnsi="Arial" w:cs="Arial"/>
          <w:color w:val="1F1F1F"/>
          <w:sz w:val="20"/>
          <w:szCs w:val="20"/>
          <w:shd w:val="clear" w:color="auto" w:fill="FFFFFF"/>
        </w:rPr>
        <w:t> </w:t>
      </w:r>
      <w:proofErr w:type="spellStart"/>
      <w:r>
        <w:rPr>
          <w:rStyle w:val="a3"/>
          <w:rFonts w:ascii="Arial" w:hAnsi="Arial" w:cs="Arial"/>
          <w:color w:val="225171"/>
          <w:sz w:val="20"/>
          <w:szCs w:val="20"/>
          <w:bdr w:val="none" w:sz="0" w:space="0" w:color="auto" w:frame="1"/>
          <w:shd w:val="clear" w:color="auto" w:fill="FFFFFF"/>
        </w:rPr>
        <w:t>inv</w:t>
      </w:r>
      <w:proofErr w:type="spellEnd"/>
      <w:r w:rsidRPr="00E77F3F">
        <w:rPr>
          <w:rStyle w:val="a3"/>
          <w:rFonts w:ascii="Arial" w:hAnsi="Arial" w:cs="Arial"/>
          <w:color w:val="225171"/>
          <w:sz w:val="20"/>
          <w:szCs w:val="20"/>
          <w:bdr w:val="none" w:sz="0" w:space="0" w:color="auto" w:frame="1"/>
          <w:shd w:val="clear" w:color="auto" w:fill="FFFFFF"/>
          <w:lang w:val="ru-RU"/>
        </w:rPr>
        <w:t>А-</w:t>
      </w:r>
      <w:r w:rsidRPr="00E77F3F">
        <w:rPr>
          <w:rFonts w:ascii="Arial" w:hAnsi="Arial" w:cs="Arial"/>
          <w:color w:val="1F1F1F"/>
          <w:sz w:val="20"/>
          <w:szCs w:val="20"/>
          <w:shd w:val="clear" w:color="auto" w:fill="FFFFFF"/>
          <w:lang w:val="ru-RU"/>
        </w:rPr>
        <w:t>.</w:t>
      </w:r>
      <w:r w:rsidRPr="00E77F3F">
        <w:rPr>
          <w:rFonts w:ascii="Arial" w:hAnsi="Arial" w:cs="Arial"/>
          <w:color w:val="1F1F1F"/>
          <w:sz w:val="20"/>
          <w:szCs w:val="20"/>
          <w:lang w:val="ru-RU"/>
        </w:rPr>
        <w:br/>
      </w:r>
      <w:r w:rsidRPr="00E77F3F">
        <w:rPr>
          <w:rFonts w:ascii="Arial" w:hAnsi="Arial" w:cs="Arial"/>
          <w:color w:val="1F1F1F"/>
          <w:sz w:val="20"/>
          <w:szCs w:val="20"/>
          <w:lang w:val="ru-RU"/>
        </w:rPr>
        <w:br/>
      </w:r>
      <w:r w:rsidRPr="00E77F3F">
        <w:rPr>
          <w:rStyle w:val="a3"/>
          <w:rFonts w:ascii="Arial" w:hAnsi="Arial" w:cs="Arial"/>
          <w:color w:val="225171"/>
          <w:sz w:val="20"/>
          <w:szCs w:val="20"/>
          <w:bdr w:val="none" w:sz="0" w:space="0" w:color="auto" w:frame="1"/>
          <w:shd w:val="clear" w:color="auto" w:fill="FFFFFF"/>
          <w:lang w:val="ru-RU"/>
        </w:rPr>
        <w:t>Такие уровни рейтингов отображают</w:t>
      </w:r>
      <w:r>
        <w:rPr>
          <w:rFonts w:ascii="Arial" w:hAnsi="Arial" w:cs="Arial"/>
          <w:color w:val="1F1F1F"/>
          <w:sz w:val="20"/>
          <w:szCs w:val="20"/>
          <w:shd w:val="clear" w:color="auto" w:fill="FFFFFF"/>
        </w:rPr>
        <w:t> </w:t>
      </w:r>
      <w:r w:rsidRPr="00E77F3F">
        <w:rPr>
          <w:rFonts w:ascii="Arial" w:hAnsi="Arial" w:cs="Arial"/>
          <w:color w:val="1F1F1F"/>
          <w:sz w:val="20"/>
          <w:szCs w:val="20"/>
          <w:shd w:val="clear" w:color="auto" w:fill="FFFFFF"/>
          <w:lang w:val="ru-RU"/>
        </w:rPr>
        <w:t>высокую способность города рассчитываться по своим обязательствам и высокую инвестиционную привлекательность.</w:t>
      </w:r>
      <w:r>
        <w:rPr>
          <w:rFonts w:ascii="Arial" w:hAnsi="Arial" w:cs="Arial"/>
          <w:color w:val="1F1F1F"/>
          <w:sz w:val="20"/>
          <w:szCs w:val="20"/>
          <w:shd w:val="clear" w:color="auto" w:fill="FFFFFF"/>
        </w:rPr>
        <w:t> </w:t>
      </w:r>
      <w:r w:rsidRPr="00E77F3F">
        <w:rPr>
          <w:rStyle w:val="a3"/>
          <w:rFonts w:ascii="Arial" w:hAnsi="Arial" w:cs="Arial"/>
          <w:color w:val="225171"/>
          <w:sz w:val="20"/>
          <w:szCs w:val="20"/>
          <w:bdr w:val="none" w:sz="0" w:space="0" w:color="auto" w:frame="1"/>
          <w:shd w:val="clear" w:color="auto" w:fill="FFFFFF"/>
          <w:lang w:val="ru-RU"/>
        </w:rPr>
        <w:t>Прогноз «в развитии»</w:t>
      </w:r>
      <w:r>
        <w:rPr>
          <w:rStyle w:val="a3"/>
          <w:rFonts w:ascii="Arial" w:hAnsi="Arial" w:cs="Arial"/>
          <w:color w:val="225171"/>
          <w:sz w:val="20"/>
          <w:szCs w:val="20"/>
          <w:bdr w:val="none" w:sz="0" w:space="0" w:color="auto" w:frame="1"/>
          <w:shd w:val="clear" w:color="auto" w:fill="FFFFFF"/>
        </w:rPr>
        <w:t> </w:t>
      </w:r>
      <w:r w:rsidRPr="00E77F3F">
        <w:rPr>
          <w:rFonts w:ascii="Arial" w:hAnsi="Arial" w:cs="Arial"/>
          <w:color w:val="1F1F1F"/>
          <w:sz w:val="20"/>
          <w:szCs w:val="20"/>
          <w:shd w:val="clear" w:color="auto" w:fill="FFFFFF"/>
          <w:lang w:val="ru-RU"/>
        </w:rPr>
        <w:t xml:space="preserve">указывает на высокую вероятность изменения кредитного рейтинга на протяжении года. В настоящее время такой прогноз применяется ко всем субъектам </w:t>
      </w:r>
      <w:proofErr w:type="spellStart"/>
      <w:r w:rsidRPr="00E77F3F">
        <w:rPr>
          <w:rFonts w:ascii="Arial" w:hAnsi="Arial" w:cs="Arial"/>
          <w:color w:val="1F1F1F"/>
          <w:sz w:val="20"/>
          <w:szCs w:val="20"/>
          <w:shd w:val="clear" w:color="auto" w:fill="FFFFFF"/>
          <w:lang w:val="ru-RU"/>
        </w:rPr>
        <w:t>рейтингования</w:t>
      </w:r>
      <w:proofErr w:type="spellEnd"/>
      <w:r w:rsidRPr="00E77F3F">
        <w:rPr>
          <w:rFonts w:ascii="Arial" w:hAnsi="Arial" w:cs="Arial"/>
          <w:color w:val="1F1F1F"/>
          <w:sz w:val="20"/>
          <w:szCs w:val="20"/>
          <w:shd w:val="clear" w:color="auto" w:fill="FFFFFF"/>
          <w:lang w:val="ru-RU"/>
        </w:rPr>
        <w:t>. Он обусловлен усилением неопределенности относительно действий органов власти и хозяйствующих субъектов в случае обострения эпидемиологической ситуации в Украине и мире.</w:t>
      </w:r>
      <w:r>
        <w:rPr>
          <w:rStyle w:val="a3"/>
          <w:rFonts w:ascii="Arial" w:hAnsi="Arial" w:cs="Arial"/>
          <w:color w:val="225171"/>
          <w:sz w:val="20"/>
          <w:szCs w:val="20"/>
          <w:bdr w:val="none" w:sz="0" w:space="0" w:color="auto" w:frame="1"/>
          <w:shd w:val="clear" w:color="auto" w:fill="FFFFFF"/>
        </w:rPr>
        <w:t> </w:t>
      </w:r>
      <w:r w:rsidRPr="00E77F3F">
        <w:rPr>
          <w:rStyle w:val="a3"/>
          <w:rFonts w:ascii="Arial" w:hAnsi="Arial" w:cs="Arial"/>
          <w:color w:val="225171"/>
          <w:sz w:val="20"/>
          <w:szCs w:val="20"/>
          <w:bdr w:val="none" w:sz="0" w:space="0" w:color="auto" w:frame="1"/>
          <w:shd w:val="clear" w:color="auto" w:fill="FFFFFF"/>
          <w:lang w:val="ru-RU"/>
        </w:rPr>
        <w:t>Обозначение «-»</w:t>
      </w:r>
      <w:r>
        <w:rPr>
          <w:rStyle w:val="a3"/>
          <w:rFonts w:ascii="Arial" w:hAnsi="Arial" w:cs="Arial"/>
          <w:color w:val="225171"/>
          <w:sz w:val="20"/>
          <w:szCs w:val="20"/>
          <w:bdr w:val="none" w:sz="0" w:space="0" w:color="auto" w:frame="1"/>
          <w:shd w:val="clear" w:color="auto" w:fill="FFFFFF"/>
        </w:rPr>
        <w:t> </w:t>
      </w:r>
      <w:r w:rsidRPr="00E77F3F">
        <w:rPr>
          <w:rFonts w:ascii="Arial" w:hAnsi="Arial" w:cs="Arial"/>
          <w:color w:val="1F1F1F"/>
          <w:sz w:val="20"/>
          <w:szCs w:val="20"/>
          <w:shd w:val="clear" w:color="auto" w:fill="FFFFFF"/>
          <w:lang w:val="ru-RU"/>
        </w:rPr>
        <w:t>указывает на промежуточную категорию рейтинга относительно основной категории.</w:t>
      </w:r>
      <w:r w:rsidRPr="00E77F3F">
        <w:rPr>
          <w:rFonts w:ascii="Arial" w:hAnsi="Arial" w:cs="Arial"/>
          <w:color w:val="1F1F1F"/>
          <w:sz w:val="20"/>
          <w:szCs w:val="20"/>
          <w:lang w:val="ru-RU"/>
        </w:rPr>
        <w:br/>
      </w:r>
      <w:r w:rsidRPr="00E77F3F">
        <w:rPr>
          <w:rFonts w:ascii="Arial" w:hAnsi="Arial" w:cs="Arial"/>
          <w:color w:val="1F1F1F"/>
          <w:sz w:val="20"/>
          <w:szCs w:val="20"/>
          <w:lang w:val="ru-RU"/>
        </w:rPr>
        <w:br/>
      </w:r>
      <w:r w:rsidRPr="00E77F3F">
        <w:rPr>
          <w:rStyle w:val="a3"/>
          <w:rFonts w:ascii="Arial" w:hAnsi="Arial" w:cs="Arial"/>
          <w:color w:val="225171"/>
          <w:sz w:val="20"/>
          <w:szCs w:val="20"/>
          <w:bdr w:val="none" w:sz="0" w:space="0" w:color="auto" w:frame="1"/>
          <w:shd w:val="clear" w:color="auto" w:fill="FFFFFF"/>
          <w:lang w:val="ru-RU"/>
        </w:rPr>
        <w:t>При обновлении рейтингов были учтены:</w:t>
      </w:r>
      <w:r w:rsidRPr="00E77F3F">
        <w:rPr>
          <w:rFonts w:ascii="Arial" w:hAnsi="Arial" w:cs="Arial"/>
          <w:b/>
          <w:bCs/>
          <w:color w:val="225171"/>
          <w:sz w:val="20"/>
          <w:szCs w:val="20"/>
          <w:bdr w:val="none" w:sz="0" w:space="0" w:color="auto" w:frame="1"/>
          <w:shd w:val="clear" w:color="auto" w:fill="FFFFFF"/>
          <w:lang w:val="ru-RU"/>
        </w:rPr>
        <w:br/>
      </w:r>
      <w:r w:rsidRPr="00E77F3F">
        <w:rPr>
          <w:rFonts w:ascii="Arial" w:hAnsi="Arial" w:cs="Arial"/>
          <w:b/>
          <w:bCs/>
          <w:color w:val="225171"/>
          <w:sz w:val="20"/>
          <w:szCs w:val="20"/>
          <w:bdr w:val="none" w:sz="0" w:space="0" w:color="auto" w:frame="1"/>
          <w:shd w:val="clear" w:color="auto" w:fill="FFFFFF"/>
          <w:lang w:val="ru-RU"/>
        </w:rPr>
        <w:br/>
      </w:r>
      <w:r w:rsidRPr="00E77F3F">
        <w:rPr>
          <w:rFonts w:ascii="Arial" w:hAnsi="Arial" w:cs="Arial"/>
          <w:color w:val="1F1F1F"/>
          <w:sz w:val="20"/>
          <w:szCs w:val="20"/>
          <w:u w:val="single"/>
          <w:bdr w:val="none" w:sz="0" w:space="0" w:color="auto" w:frame="1"/>
          <w:shd w:val="clear" w:color="auto" w:fill="FFFFFF"/>
          <w:lang w:val="ru-RU"/>
        </w:rPr>
        <w:t>1. Структура экономического комплекса города и динамика ключевых показателей</w:t>
      </w:r>
      <w:r w:rsidRPr="00E77F3F">
        <w:rPr>
          <w:rFonts w:ascii="Arial" w:hAnsi="Arial" w:cs="Arial"/>
          <w:color w:val="1F1F1F"/>
          <w:sz w:val="20"/>
          <w:szCs w:val="20"/>
          <w:lang w:val="ru-RU"/>
        </w:rPr>
        <w:br/>
      </w:r>
      <w:r w:rsidRPr="00E77F3F">
        <w:rPr>
          <w:rFonts w:ascii="Arial" w:hAnsi="Arial" w:cs="Arial"/>
          <w:color w:val="1F1F1F"/>
          <w:sz w:val="20"/>
          <w:szCs w:val="20"/>
          <w:shd w:val="clear" w:color="auto" w:fill="FFFFFF"/>
          <w:lang w:val="ru-RU"/>
        </w:rPr>
        <w:t>Сумская городская ОТГ имеет достаточно мощный промышленный комплекс, объем реализации промышленной продукции в расчете на 1 человека существенно превышает аналогичный показатель по Украине в целом (по результатам 3 кварталов текущего года такое превышение составило 38,6%). Внешнеторговый оборот товарами в расчете на 1 человека по состоянию на 01.09.2020 г. составлял 1645 долл. США, что также превышает показатель по Украине в целом.</w:t>
      </w:r>
      <w:r w:rsidRPr="00E77F3F">
        <w:rPr>
          <w:rFonts w:ascii="Arial" w:hAnsi="Arial" w:cs="Arial"/>
          <w:color w:val="1F1F1F"/>
          <w:sz w:val="20"/>
          <w:szCs w:val="20"/>
          <w:lang w:val="ru-RU"/>
        </w:rPr>
        <w:br/>
      </w:r>
      <w:r w:rsidRPr="00E77F3F">
        <w:rPr>
          <w:rFonts w:ascii="Arial" w:hAnsi="Arial" w:cs="Arial"/>
          <w:color w:val="1F1F1F"/>
          <w:sz w:val="20"/>
          <w:szCs w:val="20"/>
          <w:u w:val="single"/>
          <w:bdr w:val="none" w:sz="0" w:space="0" w:color="auto" w:frame="1"/>
          <w:shd w:val="clear" w:color="auto" w:fill="FFFFFF"/>
          <w:lang w:val="ru-RU"/>
        </w:rPr>
        <w:br/>
        <w:t>2. Эффективность финансовой политики и показатели бюджета</w:t>
      </w:r>
      <w:r w:rsidRPr="00E77F3F">
        <w:rPr>
          <w:rFonts w:ascii="Arial" w:hAnsi="Arial" w:cs="Arial"/>
          <w:color w:val="1F1F1F"/>
          <w:sz w:val="20"/>
          <w:szCs w:val="20"/>
          <w:lang w:val="ru-RU"/>
        </w:rPr>
        <w:br/>
      </w:r>
      <w:r w:rsidRPr="00E77F3F">
        <w:rPr>
          <w:rFonts w:ascii="Arial" w:hAnsi="Arial" w:cs="Arial"/>
          <w:color w:val="1F1F1F"/>
          <w:sz w:val="20"/>
          <w:szCs w:val="20"/>
          <w:shd w:val="clear" w:color="auto" w:fill="FFFFFF"/>
          <w:lang w:val="ru-RU"/>
        </w:rPr>
        <w:t>Собственные доходы бюджета по результатам 9 мес. 2020 года составили 1 411,99 млн грн. (+ 2,9% по сравнению с аналогичным периодом предыдущего года). Поступления в бюджет - умеренно диверсифицированы по источникам и плательщикам. Показатель налогоспособности бюджета Сумской городской ОТГ (НДФЛ на 1 жителя) выше среднего по стране, из-за чего бюджет остается бюджетом-донором, перечисляя в государственный бюджет реверсную дотацию (в сумме 81 087,30 тыс. грн. за 9 месяцев 2020 года). Долговая нагрузка на бюджет Сумской городской ОТГ остается низкой, что позволяет городским властям рассчитывать на дополнительное привлечение финансовых ресурсов для финансирования мероприятий социально-экономического развития и инфраструктурных проектов. Соотношение консолидированной задолженности к плановым доходам бюджета на 2020 год по состоянию на 01.10.2020 г. составило 4,9%.</w:t>
      </w:r>
      <w:r w:rsidRPr="00E77F3F">
        <w:rPr>
          <w:rFonts w:ascii="Arial" w:hAnsi="Arial" w:cs="Arial"/>
          <w:color w:val="1F1F1F"/>
          <w:sz w:val="20"/>
          <w:szCs w:val="20"/>
          <w:lang w:val="ru-RU"/>
        </w:rPr>
        <w:br/>
      </w:r>
      <w:r w:rsidRPr="00E77F3F">
        <w:rPr>
          <w:rFonts w:ascii="Arial" w:hAnsi="Arial" w:cs="Arial"/>
          <w:color w:val="1F1F1F"/>
          <w:sz w:val="20"/>
          <w:szCs w:val="20"/>
          <w:lang w:val="ru-RU"/>
        </w:rPr>
        <w:br/>
      </w:r>
      <w:r w:rsidRPr="00E77F3F">
        <w:rPr>
          <w:rFonts w:ascii="Arial" w:hAnsi="Arial" w:cs="Arial"/>
          <w:color w:val="1F1F1F"/>
          <w:sz w:val="20"/>
          <w:szCs w:val="20"/>
          <w:u w:val="single"/>
          <w:bdr w:val="none" w:sz="0" w:space="0" w:color="auto" w:frame="1"/>
          <w:shd w:val="clear" w:color="auto" w:fill="FFFFFF"/>
          <w:lang w:val="ru-RU"/>
        </w:rPr>
        <w:t>3. Инвестиционный потенциал города</w:t>
      </w:r>
      <w:r w:rsidRPr="00E77F3F">
        <w:rPr>
          <w:rFonts w:ascii="Arial" w:hAnsi="Arial" w:cs="Arial"/>
          <w:color w:val="1F1F1F"/>
          <w:sz w:val="20"/>
          <w:szCs w:val="20"/>
          <w:lang w:val="ru-RU"/>
        </w:rPr>
        <w:br/>
      </w:r>
      <w:r w:rsidRPr="00E77F3F">
        <w:rPr>
          <w:rFonts w:ascii="Arial" w:hAnsi="Arial" w:cs="Arial"/>
          <w:color w:val="1F1F1F"/>
          <w:sz w:val="20"/>
          <w:szCs w:val="20"/>
          <w:shd w:val="clear" w:color="auto" w:fill="FFFFFF"/>
          <w:lang w:val="ru-RU"/>
        </w:rPr>
        <w:t xml:space="preserve">В г. Сумы функционирует развитая дорожно-транспортная инфраструктура. На территории города расположена крупная железнодорожная станция; через город проходят 2 автодороги национального значения и 2 автодороги регионального значения. Сумская городская ОТГ имеет мощный кадровый потенциал. При этом, конкуренция для бизнеса и стоимость трудовых ресурсов ниже, по сравнению со столицей и большинством областных центров Украины. Торговая, промышленная и бизнес-инфраструктура - развиты. Проводится работа в направлении создания Индустриального парка «Сумы». Значительное внимание уделяется мерам по повышению </w:t>
      </w:r>
      <w:proofErr w:type="spellStart"/>
      <w:r w:rsidRPr="00E77F3F">
        <w:rPr>
          <w:rFonts w:ascii="Arial" w:hAnsi="Arial" w:cs="Arial"/>
          <w:color w:val="1F1F1F"/>
          <w:sz w:val="20"/>
          <w:szCs w:val="20"/>
          <w:shd w:val="clear" w:color="auto" w:fill="FFFFFF"/>
          <w:lang w:val="ru-RU"/>
        </w:rPr>
        <w:t>энергоэффективности</w:t>
      </w:r>
      <w:proofErr w:type="spellEnd"/>
      <w:r w:rsidRPr="00E77F3F">
        <w:rPr>
          <w:rFonts w:ascii="Arial" w:hAnsi="Arial" w:cs="Arial"/>
          <w:color w:val="1F1F1F"/>
          <w:sz w:val="20"/>
          <w:szCs w:val="20"/>
          <w:shd w:val="clear" w:color="auto" w:fill="FFFFFF"/>
          <w:lang w:val="ru-RU"/>
        </w:rPr>
        <w:t xml:space="preserve"> городского хозяйства.</w:t>
      </w:r>
      <w:r w:rsidRPr="00E77F3F">
        <w:rPr>
          <w:rFonts w:ascii="Arial" w:hAnsi="Arial" w:cs="Arial"/>
          <w:color w:val="1F1F1F"/>
          <w:sz w:val="20"/>
          <w:szCs w:val="20"/>
          <w:lang w:val="ru-RU"/>
        </w:rPr>
        <w:br/>
      </w:r>
      <w:r w:rsidRPr="00E77F3F">
        <w:rPr>
          <w:rFonts w:ascii="Arial" w:hAnsi="Arial" w:cs="Arial"/>
          <w:color w:val="1F1F1F"/>
          <w:sz w:val="20"/>
          <w:szCs w:val="20"/>
          <w:lang w:val="ru-RU"/>
        </w:rPr>
        <w:br/>
      </w:r>
      <w:r w:rsidRPr="00E77F3F">
        <w:rPr>
          <w:rFonts w:ascii="Arial" w:hAnsi="Arial" w:cs="Arial"/>
          <w:color w:val="1F1F1F"/>
          <w:sz w:val="20"/>
          <w:szCs w:val="20"/>
          <w:shd w:val="clear" w:color="auto" w:fill="FFFFFF"/>
          <w:lang w:val="ru-RU"/>
        </w:rPr>
        <w:t>Для проведения аналитического исследования были использованы материалы, полученные от города Сумы, в том числе: показатели социально-экономического развития, статистические данные, казначейская отчетность, программные материалы, другая необходимая внутренняя информация, а также информация из открытых источников, которую Рейтинговое агентство считает достоверной.</w:t>
      </w:r>
      <w:r w:rsidRPr="00E77F3F">
        <w:rPr>
          <w:rFonts w:ascii="Arial" w:hAnsi="Arial" w:cs="Arial"/>
          <w:color w:val="1F1F1F"/>
          <w:sz w:val="20"/>
          <w:szCs w:val="20"/>
          <w:lang w:val="ru-RU"/>
        </w:rPr>
        <w:br/>
      </w:r>
      <w:r w:rsidRPr="00E77F3F">
        <w:rPr>
          <w:rFonts w:ascii="Arial" w:hAnsi="Arial" w:cs="Arial"/>
          <w:color w:val="1F1F1F"/>
          <w:sz w:val="20"/>
          <w:szCs w:val="20"/>
          <w:lang w:val="ru-RU"/>
        </w:rPr>
        <w:br/>
      </w:r>
      <w:r w:rsidRPr="00E77F3F">
        <w:rPr>
          <w:rStyle w:val="a3"/>
          <w:rFonts w:ascii="Arial" w:hAnsi="Arial" w:cs="Arial"/>
          <w:color w:val="225171"/>
          <w:sz w:val="20"/>
          <w:szCs w:val="20"/>
          <w:bdr w:val="none" w:sz="0" w:space="0" w:color="auto" w:frame="1"/>
          <w:shd w:val="clear" w:color="auto" w:fill="FFFFFF"/>
          <w:lang w:val="ru-RU"/>
        </w:rPr>
        <w:t>Муниципальный департамент</w:t>
      </w:r>
      <w:r w:rsidRPr="00E77F3F">
        <w:rPr>
          <w:rFonts w:ascii="Arial" w:hAnsi="Arial" w:cs="Arial"/>
          <w:b/>
          <w:bCs/>
          <w:color w:val="225171"/>
          <w:sz w:val="20"/>
          <w:szCs w:val="20"/>
          <w:bdr w:val="none" w:sz="0" w:space="0" w:color="auto" w:frame="1"/>
          <w:shd w:val="clear" w:color="auto" w:fill="FFFFFF"/>
          <w:lang w:val="ru-RU"/>
        </w:rPr>
        <w:br/>
      </w:r>
      <w:r w:rsidRPr="00E77F3F">
        <w:rPr>
          <w:rFonts w:ascii="Arial" w:hAnsi="Arial" w:cs="Arial"/>
          <w:color w:val="1F1F1F"/>
          <w:sz w:val="20"/>
          <w:szCs w:val="20"/>
          <w:shd w:val="clear" w:color="auto" w:fill="FFFFFF"/>
          <w:lang w:val="ru-RU"/>
        </w:rPr>
        <w:t>За дополнительной информацией обращайтесь:</w:t>
      </w:r>
      <w:r w:rsidRPr="00E77F3F">
        <w:rPr>
          <w:rFonts w:ascii="Arial" w:hAnsi="Arial" w:cs="Arial"/>
          <w:color w:val="1F1F1F"/>
          <w:sz w:val="20"/>
          <w:szCs w:val="20"/>
          <w:lang w:val="ru-RU"/>
        </w:rPr>
        <w:br/>
      </w:r>
      <w:hyperlink r:id="rId5" w:history="1">
        <w:r w:rsidRPr="00E77F3F">
          <w:rPr>
            <w:rStyle w:val="a4"/>
            <w:rFonts w:ascii="Arial" w:hAnsi="Arial" w:cs="Arial"/>
            <w:color w:val="09234E"/>
            <w:sz w:val="20"/>
            <w:szCs w:val="20"/>
            <w:bdr w:val="none" w:sz="0" w:space="0" w:color="auto" w:frame="1"/>
            <w:shd w:val="clear" w:color="auto" w:fill="FFFFFF"/>
            <w:lang w:val="ru-RU"/>
          </w:rPr>
          <w:t xml:space="preserve">Пресс-служба </w:t>
        </w:r>
        <w:r>
          <w:rPr>
            <w:rStyle w:val="a4"/>
            <w:rFonts w:ascii="Arial" w:hAnsi="Arial" w:cs="Arial"/>
            <w:color w:val="09234E"/>
            <w:sz w:val="20"/>
            <w:szCs w:val="20"/>
            <w:bdr w:val="none" w:sz="0" w:space="0" w:color="auto" w:frame="1"/>
            <w:shd w:val="clear" w:color="auto" w:fill="FFFFFF"/>
          </w:rPr>
          <w:t>IBI</w:t>
        </w:r>
        <w:r w:rsidRPr="00E77F3F">
          <w:rPr>
            <w:rStyle w:val="a4"/>
            <w:rFonts w:ascii="Arial" w:hAnsi="Arial" w:cs="Arial"/>
            <w:color w:val="09234E"/>
            <w:sz w:val="20"/>
            <w:szCs w:val="20"/>
            <w:bdr w:val="none" w:sz="0" w:space="0" w:color="auto" w:frame="1"/>
            <w:shd w:val="clear" w:color="auto" w:fill="FFFFFF"/>
            <w:lang w:val="ru-RU"/>
          </w:rPr>
          <w:t>-</w:t>
        </w:r>
        <w:r>
          <w:rPr>
            <w:rStyle w:val="a4"/>
            <w:rFonts w:ascii="Arial" w:hAnsi="Arial" w:cs="Arial"/>
            <w:color w:val="09234E"/>
            <w:sz w:val="20"/>
            <w:szCs w:val="20"/>
            <w:bdr w:val="none" w:sz="0" w:space="0" w:color="auto" w:frame="1"/>
            <w:shd w:val="clear" w:color="auto" w:fill="FFFFFF"/>
          </w:rPr>
          <w:t>Rating</w:t>
        </w:r>
      </w:hyperlink>
      <w:r w:rsidRPr="00E77F3F">
        <w:rPr>
          <w:rFonts w:ascii="Arial" w:hAnsi="Arial" w:cs="Arial"/>
          <w:color w:val="1F1F1F"/>
          <w:sz w:val="20"/>
          <w:szCs w:val="20"/>
          <w:lang w:val="ru-RU"/>
        </w:rPr>
        <w:br/>
      </w:r>
      <w:r w:rsidRPr="00E77F3F">
        <w:rPr>
          <w:rFonts w:ascii="Arial" w:hAnsi="Arial" w:cs="Arial"/>
          <w:color w:val="1F1F1F"/>
          <w:sz w:val="20"/>
          <w:szCs w:val="20"/>
          <w:shd w:val="clear" w:color="auto" w:fill="FFFFFF"/>
          <w:lang w:val="ru-RU"/>
        </w:rPr>
        <w:t>(044) 362-90-84</w:t>
      </w:r>
      <w:r w:rsidRPr="00E77F3F">
        <w:rPr>
          <w:rFonts w:ascii="Arial" w:hAnsi="Arial" w:cs="Arial"/>
          <w:color w:val="1F1F1F"/>
          <w:sz w:val="20"/>
          <w:szCs w:val="20"/>
          <w:lang w:val="ru-RU"/>
        </w:rPr>
        <w:br/>
      </w:r>
      <w:r>
        <w:rPr>
          <w:rFonts w:ascii="Arial" w:hAnsi="Arial" w:cs="Arial"/>
          <w:color w:val="1F1F1F"/>
          <w:sz w:val="20"/>
          <w:szCs w:val="20"/>
          <w:shd w:val="clear" w:color="auto" w:fill="FFFFFF"/>
        </w:rPr>
        <w:t>press</w:t>
      </w:r>
      <w:r w:rsidRPr="00E77F3F">
        <w:rPr>
          <w:rFonts w:ascii="Arial" w:hAnsi="Arial" w:cs="Arial"/>
          <w:color w:val="1F1F1F"/>
          <w:sz w:val="20"/>
          <w:szCs w:val="20"/>
          <w:shd w:val="clear" w:color="auto" w:fill="FFFFFF"/>
          <w:lang w:val="ru-RU"/>
        </w:rPr>
        <w:t>(</w:t>
      </w:r>
      <w:r>
        <w:rPr>
          <w:rFonts w:ascii="Arial" w:hAnsi="Arial" w:cs="Arial"/>
          <w:color w:val="1F1F1F"/>
          <w:sz w:val="20"/>
          <w:szCs w:val="20"/>
          <w:shd w:val="clear" w:color="auto" w:fill="FFFFFF"/>
        </w:rPr>
        <w:t>at</w:t>
      </w:r>
      <w:r w:rsidRPr="00E77F3F">
        <w:rPr>
          <w:rFonts w:ascii="Arial" w:hAnsi="Arial" w:cs="Arial"/>
          <w:color w:val="1F1F1F"/>
          <w:sz w:val="20"/>
          <w:szCs w:val="20"/>
          <w:shd w:val="clear" w:color="auto" w:fill="FFFFFF"/>
          <w:lang w:val="ru-RU"/>
        </w:rPr>
        <w:t>)</w:t>
      </w:r>
      <w:proofErr w:type="spellStart"/>
      <w:r>
        <w:rPr>
          <w:rFonts w:ascii="Arial" w:hAnsi="Arial" w:cs="Arial"/>
          <w:color w:val="1F1F1F"/>
          <w:sz w:val="20"/>
          <w:szCs w:val="20"/>
          <w:shd w:val="clear" w:color="auto" w:fill="FFFFFF"/>
        </w:rPr>
        <w:t>ibi</w:t>
      </w:r>
      <w:proofErr w:type="spellEnd"/>
      <w:r w:rsidRPr="00E77F3F">
        <w:rPr>
          <w:rFonts w:ascii="Arial" w:hAnsi="Arial" w:cs="Arial"/>
          <w:color w:val="1F1F1F"/>
          <w:sz w:val="20"/>
          <w:szCs w:val="20"/>
          <w:shd w:val="clear" w:color="auto" w:fill="FFFFFF"/>
          <w:lang w:val="ru-RU"/>
        </w:rPr>
        <w:t>.</w:t>
      </w:r>
      <w:r>
        <w:rPr>
          <w:rFonts w:ascii="Arial" w:hAnsi="Arial" w:cs="Arial"/>
          <w:color w:val="1F1F1F"/>
          <w:sz w:val="20"/>
          <w:szCs w:val="20"/>
          <w:shd w:val="clear" w:color="auto" w:fill="FFFFFF"/>
        </w:rPr>
        <w:t>com</w:t>
      </w:r>
      <w:r w:rsidRPr="00E77F3F">
        <w:rPr>
          <w:rFonts w:ascii="Arial" w:hAnsi="Arial" w:cs="Arial"/>
          <w:color w:val="1F1F1F"/>
          <w:sz w:val="20"/>
          <w:szCs w:val="20"/>
          <w:shd w:val="clear" w:color="auto" w:fill="FFFFFF"/>
          <w:lang w:val="ru-RU"/>
        </w:rPr>
        <w:t>.</w:t>
      </w:r>
      <w:r>
        <w:rPr>
          <w:rFonts w:ascii="Arial" w:hAnsi="Arial" w:cs="Arial"/>
          <w:color w:val="1F1F1F"/>
          <w:sz w:val="20"/>
          <w:szCs w:val="20"/>
          <w:shd w:val="clear" w:color="auto" w:fill="FFFFFF"/>
        </w:rPr>
        <w:t>ua</w:t>
      </w:r>
    </w:p>
    <w:sectPr w:rsidR="007C41FF" w:rsidRPr="00E77F3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3F"/>
    <w:rsid w:val="00573F6F"/>
    <w:rsid w:val="007C41FF"/>
    <w:rsid w:val="00E7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AEFD"/>
  <w15:chartTrackingRefBased/>
  <w15:docId w15:val="{269FFB35-F539-488A-A921-DE7300D2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7F3F"/>
    <w:rPr>
      <w:b/>
      <w:bCs/>
    </w:rPr>
  </w:style>
  <w:style w:type="character" w:styleId="a4">
    <w:name w:val="Hyperlink"/>
    <w:basedOn w:val="a0"/>
    <w:uiPriority w:val="99"/>
    <w:semiHidden/>
    <w:unhideWhenUsed/>
    <w:rsid w:val="00E77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bi.com.ua/RU/news/informaciya-dlya-zmi.html" TargetMode="External"/><Relationship Id="rId4" Type="http://schemas.openxmlformats.org/officeDocument/2006/relationships/hyperlink" Target="http://ibi.com.ua/RU/news/informaciya-dlya-zm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 Kalashnikov</dc:creator>
  <cp:keywords/>
  <dc:description/>
  <cp:lastModifiedBy>Alexsandr Kalashnikov</cp:lastModifiedBy>
  <cp:revision>1</cp:revision>
  <dcterms:created xsi:type="dcterms:W3CDTF">2020-12-22T08:53:00Z</dcterms:created>
  <dcterms:modified xsi:type="dcterms:W3CDTF">2020-12-22T09:04:00Z</dcterms:modified>
</cp:coreProperties>
</file>