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558"/>
        <w:gridCol w:w="9657"/>
        <w:gridCol w:w="558"/>
      </w:tblGrid>
      <w:tr w:rsidR="002D2CBB" w:rsidRPr="00A2143E" w:rsidTr="00CB717C">
        <w:trPr>
          <w:trHeight w:val="862"/>
        </w:trPr>
        <w:tc>
          <w:tcPr>
            <w:tcW w:w="259" w:type="pct"/>
            <w:shd w:val="clear" w:color="auto" w:fill="auto"/>
          </w:tcPr>
          <w:p w:rsidR="002D2CBB" w:rsidRPr="00A2143E" w:rsidRDefault="002D2CBB" w:rsidP="00CB717C">
            <w:pPr>
              <w:spacing w:after="120" w:line="240" w:lineRule="auto"/>
              <w:jc w:val="center"/>
              <w:rPr>
                <w:rFonts w:ascii="Arial" w:hAnsi="Arial" w:cs="Arial"/>
                <w:color w:val="003366"/>
                <w:spacing w:val="34"/>
              </w:rPr>
            </w:pPr>
          </w:p>
        </w:tc>
        <w:tc>
          <w:tcPr>
            <w:tcW w:w="4482" w:type="pct"/>
            <w:shd w:val="clear" w:color="auto" w:fill="auto"/>
          </w:tcPr>
          <w:p w:rsidR="002D2CBB" w:rsidRPr="00A2143E" w:rsidRDefault="002D2CBB" w:rsidP="00CB717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969696"/>
              </w:rPr>
            </w:pPr>
            <w:r w:rsidRPr="00A2143E">
              <w:rPr>
                <w:rFonts w:ascii="Arial" w:hAnsi="Arial" w:cs="Arial"/>
                <w:b/>
                <w:noProof/>
                <w:color w:val="969696"/>
                <w:lang w:eastAsia="ru-RU"/>
              </w:rPr>
              <w:drawing>
                <wp:inline distT="0" distB="0" distL="0" distR="0" wp14:anchorId="1771E051" wp14:editId="06B73974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:rsidR="002D2CBB" w:rsidRPr="00A2143E" w:rsidRDefault="002D2CBB" w:rsidP="00CB717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969696"/>
              </w:rPr>
            </w:pPr>
          </w:p>
        </w:tc>
      </w:tr>
      <w:tr w:rsidR="002D2CBB" w:rsidRPr="00A2143E" w:rsidTr="00CB717C">
        <w:tc>
          <w:tcPr>
            <w:tcW w:w="259" w:type="pct"/>
            <w:shd w:val="clear" w:color="auto" w:fill="auto"/>
          </w:tcPr>
          <w:p w:rsidR="002D2CBB" w:rsidRPr="00A2143E" w:rsidRDefault="002D2CBB" w:rsidP="00CB717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969696"/>
              </w:rPr>
            </w:pPr>
          </w:p>
        </w:tc>
        <w:tc>
          <w:tcPr>
            <w:tcW w:w="4482" w:type="pct"/>
            <w:shd w:val="clear" w:color="auto" w:fill="auto"/>
          </w:tcPr>
          <w:p w:rsidR="002D2CBB" w:rsidRPr="00A2143E" w:rsidRDefault="002D2CBB" w:rsidP="00CB717C">
            <w:pPr>
              <w:spacing w:after="120" w:line="240" w:lineRule="auto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lang w:eastAsia="uk-UA"/>
              </w:rPr>
            </w:pPr>
            <w:r w:rsidRPr="00A2143E">
              <w:rPr>
                <w:rFonts w:ascii="Arial" w:hAnsi="Arial" w:cs="Arial"/>
                <w:b/>
                <w:bCs/>
                <w:smallCaps/>
                <w:color w:val="003366"/>
                <w:lang w:eastAsia="uk-UA"/>
              </w:rPr>
              <w:t>ПРЕСС-РЕЛИЗ</w:t>
            </w:r>
          </w:p>
        </w:tc>
        <w:tc>
          <w:tcPr>
            <w:tcW w:w="259" w:type="pct"/>
            <w:shd w:val="clear" w:color="auto" w:fill="auto"/>
          </w:tcPr>
          <w:p w:rsidR="002D2CBB" w:rsidRPr="00A2143E" w:rsidRDefault="002D2CBB" w:rsidP="00CB717C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  <w:color w:val="003366"/>
              </w:rPr>
            </w:pPr>
          </w:p>
        </w:tc>
      </w:tr>
    </w:tbl>
    <w:p w:rsidR="002D2CBB" w:rsidRDefault="002D2CBB" w:rsidP="002D2CBB">
      <w:pPr>
        <w:spacing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</w:p>
    <w:p w:rsidR="002D2CBB" w:rsidRPr="00A2143E" w:rsidRDefault="002D2CBB" w:rsidP="002D2CBB">
      <w:pPr>
        <w:spacing w:after="120"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color w:val="1F4E79" w:themeColor="accent1" w:themeShade="80"/>
          <w:kern w:val="36"/>
          <w:lang w:eastAsia="ru-RU"/>
        </w:rPr>
      </w:pPr>
      <w:r w:rsidRPr="00A2143E">
        <w:rPr>
          <w:rFonts w:ascii="Arial" w:eastAsia="Times New Roman" w:hAnsi="Arial" w:cs="Arial"/>
          <w:b/>
          <w:bCs/>
          <w:color w:val="1F4E79" w:themeColor="accent1" w:themeShade="80"/>
          <w:kern w:val="36"/>
          <w:lang w:eastAsia="ru-RU"/>
        </w:rPr>
        <w:t>IBI-</w:t>
      </w:r>
      <w:proofErr w:type="spellStart"/>
      <w:r w:rsidRPr="00A2143E">
        <w:rPr>
          <w:rFonts w:ascii="Arial" w:eastAsia="Times New Roman" w:hAnsi="Arial" w:cs="Arial"/>
          <w:b/>
          <w:bCs/>
          <w:color w:val="1F4E79" w:themeColor="accent1" w:themeShade="80"/>
          <w:kern w:val="36"/>
          <w:lang w:eastAsia="ru-RU"/>
        </w:rPr>
        <w:t>Rating</w:t>
      </w:r>
      <w:proofErr w:type="spellEnd"/>
      <w:r w:rsidRPr="00A2143E">
        <w:rPr>
          <w:rFonts w:ascii="Arial" w:eastAsia="Times New Roman" w:hAnsi="Arial" w:cs="Arial"/>
          <w:b/>
          <w:bCs/>
          <w:color w:val="1F4E79" w:themeColor="accent1" w:themeShade="80"/>
          <w:kern w:val="36"/>
          <w:lang w:eastAsia="ru-RU"/>
        </w:rPr>
        <w:t xml:space="preserve"> подтвердило кредитный рейтинг и рейтинг инвестиционной привлекательности города Сумы</w:t>
      </w:r>
    </w:p>
    <w:p w:rsidR="002D2CBB" w:rsidRPr="00A2143E" w:rsidRDefault="002D2CBB" w:rsidP="002D2CBB">
      <w:pPr>
        <w:spacing w:after="120" w:line="240" w:lineRule="auto"/>
        <w:ind w:firstLine="284"/>
        <w:jc w:val="both"/>
        <w:rPr>
          <w:rFonts w:ascii="Arial" w:hAnsi="Arial" w:cs="Arial"/>
        </w:rPr>
      </w:pPr>
      <w:r w:rsidRPr="00A2143E">
        <w:rPr>
          <w:rFonts w:ascii="Arial" w:hAnsi="Arial" w:cs="Arial"/>
        </w:rPr>
        <w:t>Национальное рейтинговое агентство ІВІ-</w:t>
      </w:r>
      <w:proofErr w:type="spellStart"/>
      <w:r w:rsidRPr="00A2143E">
        <w:rPr>
          <w:rFonts w:ascii="Arial" w:hAnsi="Arial" w:cs="Arial"/>
        </w:rPr>
        <w:t>Rating</w:t>
      </w:r>
      <w:proofErr w:type="spellEnd"/>
      <w:r w:rsidRPr="00A2143E">
        <w:rPr>
          <w:rFonts w:ascii="Arial" w:hAnsi="Arial" w:cs="Arial"/>
        </w:rPr>
        <w:t xml:space="preserve"> сообщает о подтверждении кредитного рейтинга г. Сумы на уровне </w:t>
      </w:r>
      <w:proofErr w:type="spellStart"/>
      <w:r w:rsidRPr="00A2143E">
        <w:rPr>
          <w:rFonts w:ascii="Arial" w:hAnsi="Arial" w:cs="Arial"/>
          <w:b/>
        </w:rPr>
        <w:t>uaА</w:t>
      </w:r>
      <w:proofErr w:type="spellEnd"/>
      <w:r w:rsidRPr="00A2143E">
        <w:rPr>
          <w:rFonts w:ascii="Arial" w:hAnsi="Arial" w:cs="Arial"/>
          <w:b/>
        </w:rPr>
        <w:t xml:space="preserve">- </w:t>
      </w:r>
      <w:r w:rsidRPr="00A2143E">
        <w:rPr>
          <w:rFonts w:ascii="Arial" w:hAnsi="Arial" w:cs="Arial"/>
        </w:rPr>
        <w:t xml:space="preserve">с прогнозом </w:t>
      </w:r>
      <w:r w:rsidRPr="00A2143E">
        <w:rPr>
          <w:rFonts w:ascii="Arial" w:hAnsi="Arial" w:cs="Arial"/>
          <w:b/>
        </w:rPr>
        <w:t>«в развитии»</w:t>
      </w:r>
      <w:r w:rsidRPr="00A2143E">
        <w:rPr>
          <w:rFonts w:ascii="Arial" w:hAnsi="Arial" w:cs="Arial"/>
        </w:rPr>
        <w:t xml:space="preserve">, а также рейтинга инвестиционной привлекательности на уровне </w:t>
      </w:r>
      <w:proofErr w:type="spellStart"/>
      <w:r w:rsidRPr="00A2143E">
        <w:rPr>
          <w:rFonts w:ascii="Arial" w:hAnsi="Arial" w:cs="Arial"/>
          <w:b/>
        </w:rPr>
        <w:t>invА</w:t>
      </w:r>
      <w:proofErr w:type="spellEnd"/>
      <w:r w:rsidRPr="00A2143E">
        <w:rPr>
          <w:rFonts w:ascii="Arial" w:hAnsi="Arial" w:cs="Arial"/>
          <w:b/>
        </w:rPr>
        <w:t>-</w:t>
      </w:r>
      <w:r w:rsidRPr="00A2143E">
        <w:rPr>
          <w:rFonts w:ascii="Arial" w:hAnsi="Arial" w:cs="Arial"/>
        </w:rPr>
        <w:t>.</w:t>
      </w:r>
    </w:p>
    <w:p w:rsidR="002D2CBB" w:rsidRPr="00A2143E" w:rsidRDefault="002D2CBB" w:rsidP="002D2CBB">
      <w:pPr>
        <w:spacing w:after="120" w:line="240" w:lineRule="auto"/>
        <w:ind w:firstLine="284"/>
        <w:jc w:val="both"/>
        <w:rPr>
          <w:rFonts w:ascii="Arial" w:hAnsi="Arial" w:cs="Arial"/>
        </w:rPr>
      </w:pPr>
      <w:r w:rsidRPr="00A2143E">
        <w:rPr>
          <w:rStyle w:val="a3"/>
          <w:rFonts w:ascii="Arial" w:hAnsi="Arial" w:cs="Arial"/>
        </w:rPr>
        <w:t xml:space="preserve">Такие уровни рейтингов отображают </w:t>
      </w:r>
      <w:r w:rsidRPr="00A2143E">
        <w:rPr>
          <w:rFonts w:ascii="Arial" w:hAnsi="Arial" w:cs="Arial"/>
        </w:rPr>
        <w:t xml:space="preserve">высокую способность города рассчитываться по своим обязательствам и высокую инвестиционную привлекательность. </w:t>
      </w:r>
      <w:r w:rsidRPr="00A2143E">
        <w:rPr>
          <w:rStyle w:val="a3"/>
          <w:rFonts w:ascii="Arial" w:hAnsi="Arial" w:cs="Arial"/>
        </w:rPr>
        <w:t xml:space="preserve">Прогноз «в развитии» </w:t>
      </w:r>
      <w:r w:rsidRPr="00A2143E">
        <w:rPr>
          <w:rFonts w:ascii="Arial" w:hAnsi="Arial" w:cs="Arial"/>
        </w:rPr>
        <w:t xml:space="preserve">указывает на высокую вероятность изменения кредитного рейтинга на протяжении года. </w:t>
      </w:r>
      <w:r w:rsidRPr="00A2143E">
        <w:rPr>
          <w:rStyle w:val="jlqj4b"/>
          <w:rFonts w:ascii="Arial" w:hAnsi="Arial" w:cs="Arial"/>
        </w:rPr>
        <w:t>В настоящее время</w:t>
      </w:r>
      <w:r w:rsidRPr="00A2143E">
        <w:rPr>
          <w:rStyle w:val="viiyi"/>
          <w:rFonts w:ascii="Arial" w:hAnsi="Arial" w:cs="Arial"/>
        </w:rPr>
        <w:t xml:space="preserve"> </w:t>
      </w:r>
      <w:r w:rsidRPr="00A2143E">
        <w:rPr>
          <w:rStyle w:val="jlqj4b"/>
          <w:rFonts w:ascii="Arial" w:hAnsi="Arial" w:cs="Arial"/>
        </w:rPr>
        <w:t>такой прогноз</w:t>
      </w:r>
      <w:r w:rsidRPr="00A2143E">
        <w:rPr>
          <w:rStyle w:val="viiyi"/>
          <w:rFonts w:ascii="Arial" w:hAnsi="Arial" w:cs="Arial"/>
        </w:rPr>
        <w:t xml:space="preserve"> </w:t>
      </w:r>
      <w:r w:rsidRPr="00A2143E">
        <w:rPr>
          <w:rStyle w:val="jlqj4b"/>
          <w:rFonts w:ascii="Arial" w:hAnsi="Arial" w:cs="Arial"/>
        </w:rPr>
        <w:t>применяется</w:t>
      </w:r>
      <w:r w:rsidRPr="00A2143E">
        <w:rPr>
          <w:rStyle w:val="viiyi"/>
          <w:rFonts w:ascii="Arial" w:hAnsi="Arial" w:cs="Arial"/>
        </w:rPr>
        <w:t xml:space="preserve"> </w:t>
      </w:r>
      <w:r w:rsidRPr="00A2143E">
        <w:rPr>
          <w:rStyle w:val="jlqj4b"/>
          <w:rFonts w:ascii="Arial" w:hAnsi="Arial" w:cs="Arial"/>
        </w:rPr>
        <w:t>ко всем</w:t>
      </w:r>
      <w:r w:rsidRPr="00A2143E">
        <w:rPr>
          <w:rStyle w:val="viiyi"/>
          <w:rFonts w:ascii="Arial" w:hAnsi="Arial" w:cs="Arial"/>
        </w:rPr>
        <w:t xml:space="preserve"> </w:t>
      </w:r>
      <w:r w:rsidRPr="00A2143E">
        <w:rPr>
          <w:rStyle w:val="jlqj4b"/>
          <w:rFonts w:ascii="Arial" w:hAnsi="Arial" w:cs="Arial"/>
        </w:rPr>
        <w:t xml:space="preserve">субъектам </w:t>
      </w:r>
      <w:proofErr w:type="spellStart"/>
      <w:r w:rsidRPr="00A2143E">
        <w:rPr>
          <w:rStyle w:val="jlqj4b"/>
          <w:rFonts w:ascii="Arial" w:hAnsi="Arial" w:cs="Arial"/>
        </w:rPr>
        <w:t>рейтингования</w:t>
      </w:r>
      <w:proofErr w:type="spellEnd"/>
      <w:r w:rsidRPr="00A2143E">
        <w:rPr>
          <w:rStyle w:val="jlqj4b"/>
          <w:rFonts w:ascii="Arial" w:hAnsi="Arial" w:cs="Arial"/>
        </w:rPr>
        <w:t xml:space="preserve">. </w:t>
      </w:r>
      <w:r w:rsidRPr="00A2143E">
        <w:rPr>
          <w:rFonts w:ascii="Arial" w:hAnsi="Arial" w:cs="Arial"/>
        </w:rPr>
        <w:t xml:space="preserve">Он обусловлен усилением неопределенности относительно действий органов власти и хозяйствующих субъектов в случае обострения эпидемиологической ситуации в Украине и мире. </w:t>
      </w:r>
      <w:r w:rsidRPr="00A2143E">
        <w:rPr>
          <w:rStyle w:val="a3"/>
          <w:rFonts w:ascii="Arial" w:hAnsi="Arial" w:cs="Arial"/>
        </w:rPr>
        <w:t>Обозначение «-»</w:t>
      </w:r>
      <w:r w:rsidRPr="00A2143E">
        <w:rPr>
          <w:rFonts w:ascii="Arial" w:hAnsi="Arial" w:cs="Arial"/>
        </w:rPr>
        <w:t xml:space="preserve"> указывает на промежуточную категорию рейтинга относительно основной категории.</w:t>
      </w:r>
    </w:p>
    <w:p w:rsidR="002D2CBB" w:rsidRPr="00A2143E" w:rsidRDefault="002D2CBB" w:rsidP="002D2CBB">
      <w:pPr>
        <w:spacing w:after="120" w:line="240" w:lineRule="auto"/>
        <w:ind w:firstLine="284"/>
        <w:jc w:val="both"/>
        <w:rPr>
          <w:rStyle w:val="a3"/>
          <w:rFonts w:ascii="Arial" w:hAnsi="Arial" w:cs="Arial"/>
        </w:rPr>
      </w:pPr>
      <w:r w:rsidRPr="00A2143E">
        <w:rPr>
          <w:rStyle w:val="a3"/>
          <w:rFonts w:ascii="Arial" w:hAnsi="Arial" w:cs="Arial"/>
        </w:rPr>
        <w:t>При обновлении рейтингов были учтены:</w:t>
      </w:r>
    </w:p>
    <w:p w:rsidR="002D2CBB" w:rsidRPr="00A2143E" w:rsidRDefault="002D2CBB" w:rsidP="002D2CBB">
      <w:pPr>
        <w:spacing w:after="120" w:line="240" w:lineRule="auto"/>
        <w:ind w:firstLine="284"/>
        <w:jc w:val="both"/>
        <w:rPr>
          <w:rFonts w:ascii="Arial" w:hAnsi="Arial" w:cs="Arial"/>
          <w:u w:val="single"/>
        </w:rPr>
      </w:pPr>
      <w:r w:rsidRPr="00A2143E">
        <w:rPr>
          <w:rFonts w:ascii="Arial" w:hAnsi="Arial" w:cs="Arial"/>
          <w:u w:val="single"/>
        </w:rPr>
        <w:t>1. Структура экономического комплекса города и динамика ключевых показателей</w:t>
      </w:r>
    </w:p>
    <w:p w:rsidR="002D2CBB" w:rsidRPr="00A2143E" w:rsidRDefault="002D2CBB" w:rsidP="002D2CBB">
      <w:pPr>
        <w:spacing w:after="120" w:line="240" w:lineRule="auto"/>
        <w:jc w:val="both"/>
        <w:rPr>
          <w:rFonts w:ascii="Arial" w:hAnsi="Arial" w:cs="Arial"/>
        </w:rPr>
      </w:pPr>
      <w:r w:rsidRPr="00A2143E">
        <w:rPr>
          <w:rFonts w:ascii="Arial" w:hAnsi="Arial" w:cs="Arial"/>
        </w:rPr>
        <w:t>Сумская городская ОТГ имеет достаточно мощный промышленный комплекс, объем реализации промышленной продукции в расчете на 1 человека существенно превышает аналогичный показатель по Украине в целом (по результатам 3 кварталов текущего года такое превышение составило 38,6%). Внешнеторговый оборот товарами в расчете на 1 человека по состоянию на 01.09.2020 г. составлял 1645 долл. США, что также превышает показатель по Украине в целом.</w:t>
      </w:r>
    </w:p>
    <w:p w:rsidR="002D2CBB" w:rsidRPr="00A2143E" w:rsidRDefault="002D2CBB" w:rsidP="002D2CBB">
      <w:pPr>
        <w:spacing w:after="120" w:line="240" w:lineRule="auto"/>
        <w:ind w:firstLine="284"/>
        <w:jc w:val="both"/>
        <w:rPr>
          <w:rFonts w:ascii="Arial" w:hAnsi="Arial" w:cs="Arial"/>
          <w:u w:val="single"/>
        </w:rPr>
      </w:pPr>
      <w:r w:rsidRPr="00A2143E">
        <w:rPr>
          <w:rFonts w:ascii="Arial" w:hAnsi="Arial" w:cs="Arial"/>
          <w:u w:val="single"/>
        </w:rPr>
        <w:t xml:space="preserve">2. Эффективность финансовой политики и показатели бюджета </w:t>
      </w:r>
    </w:p>
    <w:p w:rsidR="002D2CBB" w:rsidRPr="00A2143E" w:rsidRDefault="002D2CBB" w:rsidP="002D2CBB">
      <w:pPr>
        <w:spacing w:after="120" w:line="240" w:lineRule="auto"/>
        <w:jc w:val="both"/>
        <w:rPr>
          <w:rStyle w:val="value-title"/>
          <w:rFonts w:ascii="Arial" w:hAnsi="Arial" w:cs="Arial"/>
        </w:rPr>
      </w:pPr>
      <w:r w:rsidRPr="00A2143E">
        <w:rPr>
          <w:rStyle w:val="value-title"/>
          <w:rFonts w:ascii="Arial" w:hAnsi="Arial" w:cs="Arial"/>
        </w:rPr>
        <w:t xml:space="preserve">Собственные доходы бюджета по результатам 9 мес. 2020 года составили 1 411,99 млн грн. (+ 2,9% по сравнению с аналогичным периодом предыдущего года). Поступления в бюджет - умеренно диверсифицированы по источникам и плательщикам. Показатель налогоспособности бюджета Сумской городской ОТГ (НДФЛ на 1 жителя) выше среднего по стране, из-за чего бюджет остается бюджетом-донором, перечисляя в государственный бюджет реверсную дотацию </w:t>
      </w:r>
      <w:r>
        <w:rPr>
          <w:rStyle w:val="value-title"/>
          <w:rFonts w:ascii="Arial" w:hAnsi="Arial" w:cs="Arial"/>
        </w:rPr>
        <w:t>(</w:t>
      </w:r>
      <w:r w:rsidRPr="00A2143E">
        <w:rPr>
          <w:rStyle w:val="value-title"/>
          <w:rFonts w:ascii="Arial" w:hAnsi="Arial" w:cs="Arial"/>
        </w:rPr>
        <w:t>в сумме 81 087,30 тыс. грн. за 9 месяцев 2020 года</w:t>
      </w:r>
      <w:r>
        <w:rPr>
          <w:rStyle w:val="value-title"/>
          <w:rFonts w:ascii="Arial" w:hAnsi="Arial" w:cs="Arial"/>
        </w:rPr>
        <w:t>)</w:t>
      </w:r>
      <w:r w:rsidRPr="00A2143E">
        <w:rPr>
          <w:rStyle w:val="value-title"/>
          <w:rFonts w:ascii="Arial" w:hAnsi="Arial" w:cs="Arial"/>
        </w:rPr>
        <w:t>. Долговая нагрузка на бюджет Сумской городской ОТГ остается низкой, что позволяет городским властям рассчитывать на дополнительное привлечение финансовых ресурсов для финансирования мероприятий социально-экономического развития и инфраструктурных проектов. Соотношение консолидированной задолженности к плановым доходам бюджета на 2020 год по состоянию на 01.10.2020 г. составило 4,9%.</w:t>
      </w:r>
    </w:p>
    <w:p w:rsidR="002D2CBB" w:rsidRPr="00A2143E" w:rsidRDefault="002D2CBB" w:rsidP="002D2CBB">
      <w:pPr>
        <w:spacing w:after="120" w:line="240" w:lineRule="auto"/>
        <w:ind w:firstLine="284"/>
        <w:jc w:val="both"/>
        <w:rPr>
          <w:rFonts w:ascii="Arial" w:hAnsi="Arial" w:cs="Arial"/>
          <w:u w:val="single"/>
        </w:rPr>
      </w:pPr>
      <w:r w:rsidRPr="00A2143E">
        <w:rPr>
          <w:rFonts w:ascii="Arial" w:hAnsi="Arial" w:cs="Arial"/>
          <w:u w:val="single"/>
        </w:rPr>
        <w:t>3. Инвестиционный потенциал города</w:t>
      </w:r>
    </w:p>
    <w:p w:rsidR="002D2CBB" w:rsidRPr="00A2143E" w:rsidRDefault="002D2CBB" w:rsidP="002D2CBB">
      <w:pPr>
        <w:spacing w:after="120" w:line="240" w:lineRule="auto"/>
        <w:jc w:val="both"/>
        <w:rPr>
          <w:rFonts w:ascii="Arial" w:hAnsi="Arial" w:cs="Arial"/>
        </w:rPr>
      </w:pPr>
      <w:r w:rsidRPr="00A2143E">
        <w:rPr>
          <w:rFonts w:ascii="Arial" w:hAnsi="Arial" w:cs="Arial"/>
        </w:rPr>
        <w:t>В г. Сумы функционирует развитая дорожно-транспортная инфраструктура. На территории города расположена крупная железнодорожная станция; через город проходят 2 автодороги национального значения и 2 автодороги регионального значения. Сумская городская ОТГ имеет мощный кадровый потенциал. При этом, конкуренция для бизнеса и стоимость трудовых ресурсов ниже, по сравнению со столицей и большинством областных центров Украины.</w:t>
      </w:r>
      <w:r>
        <w:rPr>
          <w:rFonts w:ascii="Arial" w:hAnsi="Arial" w:cs="Arial"/>
        </w:rPr>
        <w:t xml:space="preserve"> </w:t>
      </w:r>
      <w:r w:rsidRPr="00A2143E">
        <w:rPr>
          <w:rFonts w:ascii="Arial" w:hAnsi="Arial" w:cs="Arial"/>
        </w:rPr>
        <w:t xml:space="preserve">Торговая, промышленная и бизнес-инфраструктура - развиты. Проводится работа в направлении создания Индустриального парка «Сумы». Значительное внимание уделяется мерам по повышению </w:t>
      </w:r>
      <w:proofErr w:type="spellStart"/>
      <w:r w:rsidRPr="00A2143E">
        <w:rPr>
          <w:rFonts w:ascii="Arial" w:hAnsi="Arial" w:cs="Arial"/>
        </w:rPr>
        <w:t>энергоэффективности</w:t>
      </w:r>
      <w:proofErr w:type="spellEnd"/>
      <w:r w:rsidRPr="00A2143E">
        <w:rPr>
          <w:rFonts w:ascii="Arial" w:hAnsi="Arial" w:cs="Arial"/>
        </w:rPr>
        <w:t xml:space="preserve"> городского хозяйства.</w:t>
      </w:r>
    </w:p>
    <w:p w:rsidR="002D2CBB" w:rsidRPr="00A2143E" w:rsidRDefault="002D2CBB" w:rsidP="002D2CBB">
      <w:pPr>
        <w:spacing w:after="120" w:line="240" w:lineRule="auto"/>
        <w:jc w:val="both"/>
        <w:rPr>
          <w:rFonts w:ascii="Arial" w:hAnsi="Arial" w:cs="Arial"/>
        </w:rPr>
      </w:pPr>
      <w:r w:rsidRPr="00A2143E">
        <w:rPr>
          <w:rFonts w:ascii="Arial" w:hAnsi="Arial" w:cs="Arial"/>
        </w:rPr>
        <w:t>Для проведения аналитического исследования были использованы материалы, полученные от города Сумы,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</w:t>
      </w:r>
    </w:p>
    <w:p w:rsidR="002D2CBB" w:rsidRDefault="002D2CBB" w:rsidP="002D2CBB">
      <w:pPr>
        <w:spacing w:after="0" w:line="240" w:lineRule="auto"/>
        <w:ind w:firstLine="284"/>
        <w:jc w:val="both"/>
        <w:rPr>
          <w:rStyle w:val="a3"/>
          <w:rFonts w:ascii="Arial" w:hAnsi="Arial" w:cs="Arial"/>
        </w:rPr>
      </w:pPr>
    </w:p>
    <w:p w:rsidR="002D2CBB" w:rsidRPr="00B668A0" w:rsidRDefault="002D2CBB" w:rsidP="002D2CBB">
      <w:pPr>
        <w:spacing w:after="0" w:line="240" w:lineRule="auto"/>
        <w:ind w:firstLine="284"/>
        <w:jc w:val="both"/>
        <w:rPr>
          <w:rStyle w:val="a3"/>
          <w:rFonts w:ascii="Arial" w:hAnsi="Arial" w:cs="Arial"/>
        </w:rPr>
      </w:pPr>
      <w:bookmarkStart w:id="0" w:name="_GoBack"/>
      <w:bookmarkEnd w:id="0"/>
      <w:r w:rsidRPr="00B668A0">
        <w:rPr>
          <w:rStyle w:val="a3"/>
          <w:rFonts w:ascii="Arial" w:hAnsi="Arial" w:cs="Arial"/>
        </w:rPr>
        <w:t>Муниципальный департамент</w:t>
      </w:r>
    </w:p>
    <w:p w:rsidR="002D2CBB" w:rsidRPr="00B668A0" w:rsidRDefault="002D2CBB" w:rsidP="002D2CBB">
      <w:pPr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</w:rPr>
      </w:pPr>
      <w:r w:rsidRPr="00B668A0">
        <w:rPr>
          <w:rStyle w:val="a3"/>
          <w:rFonts w:ascii="Arial" w:hAnsi="Arial" w:cs="Arial"/>
          <w:b w:val="0"/>
        </w:rPr>
        <w:t>За дополнительной информацией обращайтесь:</w:t>
      </w:r>
    </w:p>
    <w:p w:rsidR="002D2CBB" w:rsidRPr="002D2CBB" w:rsidRDefault="002D2CBB" w:rsidP="002D2CBB">
      <w:pPr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lang w:val="en-US"/>
        </w:rPr>
      </w:pPr>
      <w:hyperlink r:id="rId5" w:history="1">
        <w:r w:rsidRPr="00B668A0">
          <w:rPr>
            <w:rStyle w:val="a4"/>
            <w:rFonts w:ascii="Arial" w:hAnsi="Arial" w:cs="Arial"/>
          </w:rPr>
          <w:t>Пресс</w:t>
        </w:r>
        <w:r w:rsidRPr="002D2CBB">
          <w:rPr>
            <w:rStyle w:val="a4"/>
            <w:rFonts w:ascii="Arial" w:hAnsi="Arial" w:cs="Arial"/>
            <w:lang w:val="en-US"/>
          </w:rPr>
          <w:t>-</w:t>
        </w:r>
        <w:r w:rsidRPr="00B668A0">
          <w:rPr>
            <w:rStyle w:val="a4"/>
            <w:rFonts w:ascii="Arial" w:hAnsi="Arial" w:cs="Arial"/>
          </w:rPr>
          <w:t>служба</w:t>
        </w:r>
        <w:r w:rsidRPr="002D2CBB">
          <w:rPr>
            <w:rStyle w:val="a4"/>
            <w:rFonts w:ascii="Arial" w:hAnsi="Arial" w:cs="Arial"/>
            <w:lang w:val="en-US"/>
          </w:rPr>
          <w:t xml:space="preserve"> IBI-Rating</w:t>
        </w:r>
      </w:hyperlink>
    </w:p>
    <w:p w:rsidR="002D2CBB" w:rsidRPr="002D2CBB" w:rsidRDefault="002D2CBB" w:rsidP="002D2CBB">
      <w:pPr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lang w:val="en-US"/>
        </w:rPr>
      </w:pPr>
      <w:r w:rsidRPr="002D2CBB">
        <w:rPr>
          <w:rStyle w:val="a3"/>
          <w:rFonts w:ascii="Arial" w:hAnsi="Arial" w:cs="Arial"/>
          <w:b w:val="0"/>
          <w:lang w:val="en-US"/>
        </w:rPr>
        <w:t>(044) 362-90-84</w:t>
      </w:r>
    </w:p>
    <w:p w:rsidR="002D2CBB" w:rsidRPr="002D2CBB" w:rsidRDefault="002D2CBB" w:rsidP="002D2CBB">
      <w:pPr>
        <w:spacing w:after="0" w:line="240" w:lineRule="auto"/>
        <w:ind w:firstLine="284"/>
        <w:jc w:val="both"/>
        <w:rPr>
          <w:rStyle w:val="a3"/>
          <w:rFonts w:ascii="Arial" w:hAnsi="Arial" w:cs="Arial"/>
          <w:b w:val="0"/>
          <w:lang w:val="en-US"/>
        </w:rPr>
      </w:pPr>
      <w:r w:rsidRPr="002D2CBB">
        <w:rPr>
          <w:rStyle w:val="a3"/>
          <w:rFonts w:ascii="Arial" w:hAnsi="Arial" w:cs="Arial"/>
          <w:b w:val="0"/>
          <w:lang w:val="en-US"/>
        </w:rPr>
        <w:t>press(at)ibi.com.ua</w:t>
      </w:r>
    </w:p>
    <w:p w:rsidR="00D94639" w:rsidRPr="002D2CBB" w:rsidRDefault="00D94639">
      <w:pPr>
        <w:rPr>
          <w:lang w:val="en-US"/>
        </w:rPr>
      </w:pPr>
    </w:p>
    <w:sectPr w:rsidR="00D94639" w:rsidRPr="002D2CBB" w:rsidSect="002D2CB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9"/>
    <w:rsid w:val="00237DE9"/>
    <w:rsid w:val="002D2CBB"/>
    <w:rsid w:val="00D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F6C"/>
  <w15:chartTrackingRefBased/>
  <w15:docId w15:val="{7A9277DA-CD84-42B3-BA75-691D5CE8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CBB"/>
    <w:rPr>
      <w:b/>
      <w:bCs/>
    </w:rPr>
  </w:style>
  <w:style w:type="character" w:styleId="a4">
    <w:name w:val="Hyperlink"/>
    <w:basedOn w:val="a0"/>
    <w:uiPriority w:val="99"/>
    <w:unhideWhenUsed/>
    <w:rsid w:val="002D2CBB"/>
    <w:rPr>
      <w:color w:val="0000FF"/>
      <w:u w:val="single"/>
    </w:rPr>
  </w:style>
  <w:style w:type="character" w:customStyle="1" w:styleId="value-title">
    <w:name w:val="value-title"/>
    <w:basedOn w:val="a0"/>
    <w:rsid w:val="002D2CBB"/>
  </w:style>
  <w:style w:type="character" w:customStyle="1" w:styleId="viiyi">
    <w:name w:val="viiyi"/>
    <w:basedOn w:val="a0"/>
    <w:rsid w:val="002D2CBB"/>
  </w:style>
  <w:style w:type="character" w:customStyle="1" w:styleId="jlqj4b">
    <w:name w:val="jlqj4b"/>
    <w:basedOn w:val="a0"/>
    <w:rsid w:val="002D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RU/news/informaciya-dlya-zm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2020-12-18T14:30:00Z</dcterms:created>
  <dcterms:modified xsi:type="dcterms:W3CDTF">2020-12-18T14:31:00Z</dcterms:modified>
</cp:coreProperties>
</file>