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24" w:space="0" w:color="A6A6A6"/>
        </w:tblBorders>
        <w:tblLook w:val="04A0" w:firstRow="1" w:lastRow="0" w:firstColumn="1" w:lastColumn="0" w:noHBand="0" w:noVBand="1"/>
      </w:tblPr>
      <w:tblGrid>
        <w:gridCol w:w="566"/>
        <w:gridCol w:w="9784"/>
        <w:gridCol w:w="565"/>
      </w:tblGrid>
      <w:tr w:rsidR="003B5E33" w:rsidRPr="004A107A" w:rsidTr="00E226A5">
        <w:trPr>
          <w:trHeight w:val="862"/>
        </w:trPr>
        <w:tc>
          <w:tcPr>
            <w:tcW w:w="259" w:type="pct"/>
            <w:shd w:val="clear" w:color="auto" w:fill="auto"/>
          </w:tcPr>
          <w:p w:rsidR="003B5E33" w:rsidRPr="004A107A" w:rsidRDefault="003B5E33" w:rsidP="00E226A5">
            <w:pPr>
              <w:spacing w:after="0" w:line="240" w:lineRule="auto"/>
              <w:jc w:val="center"/>
              <w:rPr>
                <w:rFonts w:ascii="Arial" w:hAnsi="Arial" w:cs="Arial"/>
                <w:color w:val="003366"/>
                <w:spacing w:val="34"/>
                <w:sz w:val="20"/>
                <w:szCs w:val="20"/>
              </w:rPr>
            </w:pPr>
          </w:p>
        </w:tc>
        <w:tc>
          <w:tcPr>
            <w:tcW w:w="4482" w:type="pct"/>
            <w:shd w:val="clear" w:color="auto" w:fill="auto"/>
          </w:tcPr>
          <w:p w:rsidR="003B5E33" w:rsidRPr="004A107A" w:rsidRDefault="003B5E33" w:rsidP="00E226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</w:rPr>
            </w:pPr>
            <w:r w:rsidRPr="004A107A">
              <w:rPr>
                <w:rFonts w:ascii="Arial" w:hAnsi="Arial" w:cs="Arial"/>
                <w:b/>
                <w:noProof/>
                <w:color w:val="969696"/>
                <w:sz w:val="20"/>
                <w:szCs w:val="20"/>
                <w:lang w:eastAsia="ru-RU"/>
              </w:rPr>
              <w:drawing>
                <wp:inline distT="0" distB="0" distL="0" distR="0" wp14:anchorId="65370D2F" wp14:editId="0C019E5E">
                  <wp:extent cx="2311400" cy="358140"/>
                  <wp:effectExtent l="0" t="0" r="0" b="3810"/>
                  <wp:docPr id="1" name="Рисунок 1" descr="logoIBIRating_newlight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BIRating_newlight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shd w:val="clear" w:color="auto" w:fill="auto"/>
          </w:tcPr>
          <w:p w:rsidR="003B5E33" w:rsidRPr="004A107A" w:rsidRDefault="003B5E33" w:rsidP="00E226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</w:rPr>
            </w:pPr>
          </w:p>
        </w:tc>
      </w:tr>
      <w:tr w:rsidR="003B5E33" w:rsidRPr="004A107A" w:rsidTr="00E226A5">
        <w:trPr>
          <w:trHeight w:val="132"/>
        </w:trPr>
        <w:tc>
          <w:tcPr>
            <w:tcW w:w="259" w:type="pct"/>
            <w:shd w:val="clear" w:color="auto" w:fill="auto"/>
          </w:tcPr>
          <w:p w:rsidR="003B5E33" w:rsidRPr="004A107A" w:rsidRDefault="003B5E33" w:rsidP="00E226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</w:rPr>
            </w:pPr>
          </w:p>
        </w:tc>
        <w:tc>
          <w:tcPr>
            <w:tcW w:w="4482" w:type="pct"/>
            <w:shd w:val="clear" w:color="auto" w:fill="auto"/>
          </w:tcPr>
          <w:p w:rsidR="003B5E33" w:rsidRPr="004A107A" w:rsidRDefault="003B5E33" w:rsidP="00E226A5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mallCaps/>
                <w:color w:val="003366"/>
                <w:sz w:val="20"/>
                <w:szCs w:val="20"/>
                <w:lang w:eastAsia="uk-UA"/>
              </w:rPr>
            </w:pPr>
            <w:r w:rsidRPr="004A107A">
              <w:rPr>
                <w:rFonts w:ascii="Arial" w:hAnsi="Arial" w:cs="Arial"/>
                <w:b/>
                <w:bCs/>
                <w:smallCaps/>
                <w:color w:val="003366"/>
                <w:sz w:val="20"/>
                <w:szCs w:val="20"/>
                <w:lang w:eastAsia="uk-UA"/>
              </w:rPr>
              <w:t>ПРЕСС РЕЛИЗ</w:t>
            </w:r>
          </w:p>
        </w:tc>
        <w:tc>
          <w:tcPr>
            <w:tcW w:w="259" w:type="pct"/>
            <w:shd w:val="clear" w:color="auto" w:fill="auto"/>
          </w:tcPr>
          <w:p w:rsidR="003B5E33" w:rsidRPr="004A107A" w:rsidRDefault="003B5E33" w:rsidP="00E226A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3366"/>
                <w:sz w:val="20"/>
                <w:szCs w:val="20"/>
              </w:rPr>
            </w:pPr>
          </w:p>
        </w:tc>
      </w:tr>
    </w:tbl>
    <w:p w:rsidR="003B5E33" w:rsidRPr="004A107A" w:rsidRDefault="003B5E33" w:rsidP="003B5E33">
      <w:pPr>
        <w:spacing w:before="100" w:after="100" w:line="240" w:lineRule="auto"/>
        <w:ind w:firstLine="284"/>
        <w:jc w:val="center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ru-RU"/>
        </w:rPr>
      </w:pPr>
      <w:r w:rsidRPr="004A107A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19"/>
          <w:szCs w:val="19"/>
          <w:lang w:eastAsia="ru-RU"/>
        </w:rPr>
        <w:t>IBI-</w:t>
      </w:r>
      <w:proofErr w:type="spellStart"/>
      <w:r w:rsidRPr="004A107A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19"/>
          <w:szCs w:val="19"/>
          <w:lang w:eastAsia="ru-RU"/>
        </w:rPr>
        <w:t>Rating</w:t>
      </w:r>
      <w:proofErr w:type="spellEnd"/>
      <w:r w:rsidRPr="004A107A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19"/>
          <w:szCs w:val="19"/>
          <w:lang w:eastAsia="ru-RU"/>
        </w:rPr>
        <w:t xml:space="preserve"> подтвердило кредитный рейтинг и рейтинг инвестиционной привлекательности города Сумы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A107A">
        <w:rPr>
          <w:rFonts w:ascii="Arial" w:hAnsi="Arial" w:cs="Arial"/>
          <w:sz w:val="19"/>
          <w:szCs w:val="19"/>
        </w:rPr>
        <w:t>Национальное рейтинговое агентство ІВІ-</w:t>
      </w:r>
      <w:proofErr w:type="spellStart"/>
      <w:r w:rsidRPr="004A107A">
        <w:rPr>
          <w:rFonts w:ascii="Arial" w:hAnsi="Arial" w:cs="Arial"/>
          <w:sz w:val="19"/>
          <w:szCs w:val="19"/>
        </w:rPr>
        <w:t>Rating</w:t>
      </w:r>
      <w:proofErr w:type="spellEnd"/>
      <w:r w:rsidRPr="004A107A">
        <w:rPr>
          <w:rFonts w:ascii="Arial" w:hAnsi="Arial" w:cs="Arial"/>
          <w:sz w:val="19"/>
          <w:szCs w:val="19"/>
        </w:rPr>
        <w:t xml:space="preserve"> сообщает о подтверждении кредитного рейтинга г. Сумы на уровне </w:t>
      </w:r>
      <w:proofErr w:type="spellStart"/>
      <w:r w:rsidRPr="004A107A">
        <w:rPr>
          <w:rStyle w:val="a3"/>
          <w:rFonts w:ascii="Arial" w:hAnsi="Arial" w:cs="Arial"/>
          <w:sz w:val="19"/>
          <w:szCs w:val="19"/>
        </w:rPr>
        <w:t>uaА</w:t>
      </w:r>
      <w:proofErr w:type="spellEnd"/>
      <w:r w:rsidRPr="004A107A">
        <w:rPr>
          <w:rStyle w:val="a3"/>
          <w:rFonts w:ascii="Arial" w:hAnsi="Arial" w:cs="Arial"/>
          <w:sz w:val="19"/>
          <w:szCs w:val="19"/>
        </w:rPr>
        <w:t>-</w:t>
      </w:r>
      <w:r w:rsidRPr="004A107A">
        <w:rPr>
          <w:rFonts w:ascii="Arial" w:hAnsi="Arial" w:cs="Arial"/>
          <w:sz w:val="19"/>
          <w:szCs w:val="19"/>
        </w:rPr>
        <w:t xml:space="preserve"> с прогнозом </w:t>
      </w:r>
      <w:r w:rsidRPr="004A107A">
        <w:rPr>
          <w:rStyle w:val="a3"/>
          <w:rFonts w:ascii="Arial" w:hAnsi="Arial" w:cs="Arial"/>
          <w:sz w:val="19"/>
          <w:szCs w:val="19"/>
        </w:rPr>
        <w:t>«в развитии»</w:t>
      </w:r>
      <w:r w:rsidRPr="004A107A">
        <w:rPr>
          <w:rFonts w:ascii="Arial" w:hAnsi="Arial" w:cs="Arial"/>
          <w:sz w:val="19"/>
          <w:szCs w:val="19"/>
        </w:rPr>
        <w:t xml:space="preserve">, а также рейтинга инвестиционной привлекательности на уровне </w:t>
      </w:r>
      <w:proofErr w:type="spellStart"/>
      <w:r w:rsidRPr="004A107A">
        <w:rPr>
          <w:rStyle w:val="a3"/>
          <w:rFonts w:ascii="Arial" w:hAnsi="Arial" w:cs="Arial"/>
          <w:sz w:val="19"/>
          <w:szCs w:val="19"/>
        </w:rPr>
        <w:t>invА</w:t>
      </w:r>
      <w:proofErr w:type="spellEnd"/>
      <w:r w:rsidRPr="004A107A">
        <w:rPr>
          <w:rStyle w:val="a3"/>
          <w:rFonts w:ascii="Arial" w:hAnsi="Arial" w:cs="Arial"/>
          <w:sz w:val="19"/>
          <w:szCs w:val="19"/>
        </w:rPr>
        <w:t>-</w:t>
      </w:r>
      <w:r w:rsidRPr="004A107A">
        <w:rPr>
          <w:rFonts w:ascii="Arial" w:hAnsi="Arial" w:cs="Arial"/>
          <w:sz w:val="19"/>
          <w:szCs w:val="19"/>
        </w:rPr>
        <w:t>.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A107A">
        <w:rPr>
          <w:rFonts w:ascii="Arial" w:hAnsi="Arial" w:cs="Arial"/>
          <w:b/>
          <w:sz w:val="19"/>
          <w:szCs w:val="19"/>
        </w:rPr>
        <w:t>Такие уровни рейтингов отображают</w:t>
      </w:r>
      <w:r w:rsidRPr="004A107A">
        <w:rPr>
          <w:rFonts w:ascii="Arial" w:hAnsi="Arial" w:cs="Arial"/>
          <w:sz w:val="19"/>
          <w:szCs w:val="19"/>
        </w:rPr>
        <w:t xml:space="preserve"> высокую способность города рассчитываться по своим обязательствам и высокую инвестиционную привлекательность. </w:t>
      </w:r>
      <w:r w:rsidRPr="004A107A">
        <w:rPr>
          <w:rStyle w:val="a3"/>
          <w:rFonts w:ascii="Arial" w:hAnsi="Arial" w:cs="Arial"/>
          <w:sz w:val="19"/>
          <w:szCs w:val="19"/>
        </w:rPr>
        <w:t xml:space="preserve">Прогноз «в развитии» </w:t>
      </w:r>
      <w:r w:rsidRPr="004A107A">
        <w:rPr>
          <w:rFonts w:ascii="Arial" w:hAnsi="Arial" w:cs="Arial"/>
          <w:sz w:val="19"/>
          <w:szCs w:val="19"/>
        </w:rPr>
        <w:t xml:space="preserve">указывает на высокую вероятность изменения кредитного рейтинга на протяжении года. Он обусловлен усилением неопределенности относительно действий органов власти и хозяйствующих субъектов в случае обострения эпидемиологической ситуации в Украине и мире. </w:t>
      </w:r>
      <w:proofErr w:type="gramStart"/>
      <w:r w:rsidRPr="004A107A">
        <w:rPr>
          <w:rFonts w:ascii="Arial" w:hAnsi="Arial" w:cs="Arial"/>
          <w:b/>
          <w:sz w:val="19"/>
          <w:szCs w:val="19"/>
        </w:rPr>
        <w:t xml:space="preserve">Обозначение  </w:t>
      </w:r>
      <w:r w:rsidRPr="004A107A">
        <w:rPr>
          <w:rStyle w:val="a3"/>
          <w:rFonts w:ascii="Arial" w:hAnsi="Arial" w:cs="Arial"/>
          <w:sz w:val="19"/>
          <w:szCs w:val="19"/>
        </w:rPr>
        <w:t>«</w:t>
      </w:r>
      <w:proofErr w:type="gramEnd"/>
      <w:r w:rsidRPr="004A107A">
        <w:rPr>
          <w:rStyle w:val="a3"/>
          <w:rFonts w:ascii="Arial" w:hAnsi="Arial" w:cs="Arial"/>
          <w:sz w:val="19"/>
          <w:szCs w:val="19"/>
        </w:rPr>
        <w:t>-»</w:t>
      </w:r>
      <w:r w:rsidRPr="004A107A">
        <w:rPr>
          <w:rFonts w:ascii="Arial" w:hAnsi="Arial" w:cs="Arial"/>
          <w:sz w:val="19"/>
          <w:szCs w:val="19"/>
        </w:rPr>
        <w:t xml:space="preserve"> указывает на промежуточную категорию рейтинга относительно основной категории.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Style w:val="a3"/>
          <w:rFonts w:ascii="Arial" w:hAnsi="Arial" w:cs="Arial"/>
          <w:sz w:val="19"/>
          <w:szCs w:val="19"/>
        </w:rPr>
      </w:pPr>
      <w:r w:rsidRPr="004A107A">
        <w:rPr>
          <w:rStyle w:val="a3"/>
          <w:rFonts w:ascii="Arial" w:hAnsi="Arial" w:cs="Arial"/>
          <w:sz w:val="19"/>
          <w:szCs w:val="19"/>
        </w:rPr>
        <w:t>При обновлении рейтингов были учтены: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  <w:u w:val="single"/>
        </w:rPr>
      </w:pPr>
      <w:r w:rsidRPr="004A107A">
        <w:rPr>
          <w:rFonts w:ascii="Arial" w:hAnsi="Arial" w:cs="Arial"/>
          <w:sz w:val="19"/>
          <w:szCs w:val="19"/>
          <w:u w:val="single"/>
        </w:rPr>
        <w:t>1. Структура экономического комплекса города и динамика ключевых показателей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A107A">
        <w:rPr>
          <w:rFonts w:ascii="Arial" w:hAnsi="Arial" w:cs="Arial"/>
          <w:sz w:val="19"/>
          <w:szCs w:val="19"/>
        </w:rPr>
        <w:t xml:space="preserve">Сумы имеют достаточно мощный промышленный комплекс, что предоставляет дополнительные конкурентные преимущества по сравнению с другими городами Украины. </w:t>
      </w:r>
      <w:r w:rsidRPr="004A107A">
        <w:rPr>
          <w:rStyle w:val="tlid-translation"/>
          <w:rFonts w:ascii="Arial" w:hAnsi="Arial" w:cs="Arial"/>
          <w:sz w:val="19"/>
          <w:szCs w:val="19"/>
        </w:rPr>
        <w:t>Объем реализации промышленной продукции в расчете на 1 человека существенно превышает аналогичный показатель по Украине в целом (по результатам 2019 года такое превышение составило 40,64%). В 2019 году против предыдущего года наблюдался дальнейший рост ряда показателей социально-экономического развития: объем прямых иностранных инвестиций вырос на 10,18% - до 108,17 млн долл. США, ввод в эксплуатацию жилья на 2,15% до - 66,4 тыс. м</w:t>
      </w:r>
      <w:r w:rsidRPr="004A107A">
        <w:rPr>
          <w:rStyle w:val="tlid-translation"/>
          <w:rFonts w:ascii="Arial" w:hAnsi="Arial" w:cs="Arial"/>
          <w:sz w:val="19"/>
          <w:szCs w:val="19"/>
          <w:vertAlign w:val="superscript"/>
        </w:rPr>
        <w:t>2</w:t>
      </w:r>
      <w:r w:rsidRPr="004A107A">
        <w:rPr>
          <w:rStyle w:val="tlid-translation"/>
          <w:rFonts w:ascii="Arial" w:hAnsi="Arial" w:cs="Arial"/>
          <w:sz w:val="19"/>
          <w:szCs w:val="19"/>
        </w:rPr>
        <w:t>, грузооборот на 114,74% - до 362,70 млн. т. км, экспорт товаров на 10,29% - до 348,41 млн долл. США.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  <w:u w:val="single"/>
        </w:rPr>
      </w:pPr>
      <w:r w:rsidRPr="004A107A">
        <w:rPr>
          <w:rFonts w:ascii="Arial" w:hAnsi="Arial" w:cs="Arial"/>
          <w:sz w:val="19"/>
          <w:szCs w:val="19"/>
          <w:u w:val="single"/>
        </w:rPr>
        <w:t>2. Конкурентные преимущества и недостатки по сравнению с другими городами страны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A107A">
        <w:rPr>
          <w:rFonts w:ascii="Arial" w:hAnsi="Arial" w:cs="Arial"/>
          <w:sz w:val="19"/>
          <w:szCs w:val="19"/>
        </w:rPr>
        <w:t xml:space="preserve">В Сумах локализованы ключевые органы государственной власти области. Кроме того, город имеет хорошую логистику, </w:t>
      </w:r>
      <w:r w:rsidRPr="004A107A">
        <w:rPr>
          <w:rStyle w:val="tlid-translation"/>
          <w:rFonts w:ascii="Arial" w:hAnsi="Arial" w:cs="Arial"/>
          <w:sz w:val="19"/>
          <w:szCs w:val="19"/>
        </w:rPr>
        <w:t xml:space="preserve">мощный кадровый потенциал (в Сумах сконцентрировано основные высшие и средне-специализированные учебные заведения региона), </w:t>
      </w:r>
      <w:r w:rsidRPr="004A107A">
        <w:rPr>
          <w:rFonts w:ascii="Arial" w:hAnsi="Arial" w:cs="Arial"/>
          <w:sz w:val="19"/>
          <w:szCs w:val="19"/>
        </w:rPr>
        <w:t xml:space="preserve">а также развитую обслуживающую, коммунальную и социальную инфраструктуру. При этом, конкуренция для бизнеса и стоимость трудовых ресурсов является ниже, в сравнении со столицей </w:t>
      </w:r>
      <w:r w:rsidRPr="004A107A">
        <w:rPr>
          <w:rStyle w:val="tlid-translation"/>
          <w:rFonts w:ascii="Arial" w:hAnsi="Arial" w:cs="Arial"/>
          <w:sz w:val="19"/>
          <w:szCs w:val="19"/>
        </w:rPr>
        <w:t>и большинством областных центров Украины</w:t>
      </w:r>
      <w:r w:rsidRPr="004A107A">
        <w:rPr>
          <w:rFonts w:ascii="Arial" w:hAnsi="Arial" w:cs="Arial"/>
          <w:sz w:val="19"/>
          <w:szCs w:val="19"/>
        </w:rPr>
        <w:t>.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  <w:u w:val="single"/>
        </w:rPr>
      </w:pPr>
      <w:r w:rsidRPr="004A107A">
        <w:rPr>
          <w:rFonts w:ascii="Arial" w:hAnsi="Arial" w:cs="Arial"/>
          <w:sz w:val="19"/>
          <w:szCs w:val="19"/>
          <w:u w:val="single"/>
        </w:rPr>
        <w:t>3. Эффективность финансовой политики и показатели бюджета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A107A">
        <w:rPr>
          <w:rFonts w:ascii="Arial" w:hAnsi="Arial" w:cs="Arial"/>
          <w:sz w:val="19"/>
          <w:szCs w:val="19"/>
        </w:rPr>
        <w:t>За 2019 год в бюджет г. Сумы поступило 2,99 млрд грн., при этом, собственные доходы за соответствующий период увеличились на 8,80%. Поступления в бюджет города Сумы умеренно диверсифицированы по источникам и плательщикам. Показатель налогоспособности бюджета (НДФЛ на 1 жителя) г. Сумы является выше среднего по стране, отчего бюджет города остается бюджетом-донором, перечисляя в государственный бюджет реверсную дотацию – 111,09 млн грн. за 2019 год, что на 27,25% больше, чем за 2018 год.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  <w:u w:val="single"/>
        </w:rPr>
      </w:pPr>
      <w:r w:rsidRPr="004A107A">
        <w:rPr>
          <w:rFonts w:ascii="Arial" w:hAnsi="Arial" w:cs="Arial"/>
          <w:sz w:val="19"/>
          <w:szCs w:val="19"/>
          <w:u w:val="single"/>
        </w:rPr>
        <w:t>4. Чувствительность бюджета и экономики города к воздействию негативных факторов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A107A">
        <w:rPr>
          <w:rStyle w:val="tlid-translation"/>
          <w:rFonts w:ascii="Arial" w:hAnsi="Arial" w:cs="Arial"/>
          <w:sz w:val="19"/>
          <w:szCs w:val="19"/>
        </w:rPr>
        <w:t>Долговая нагрузка на бюджет города остается низкой, что позволяет городским властям рассчитывать на дополнительное привлечение финансовых ресурсов (в т. ч., кредитных), для финансирования мероприятий социально-экономического развития города и инфраструктурные проекты. Так, соотношение объема долговой нагрузки (которое на 97,90% состоит из задолженности по среднесрочным займам, привлеченным с единого казначейского счета в предыдущих бюджетных периодах, и погашение которой, в соответствии с пунктом 21 заключительных и переходных положений Бюджетного кодекса Украины, не требует законодательного урегулирования этого вопроса) к объему собственных доходов бюджета г. Сумы за 2019 год составило 4,48%. Исходя из объема плановых доходов на 2020 год, по результатам текущего года ожидается снижение долговой нагрузки до 3,18%.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A107A">
        <w:rPr>
          <w:rFonts w:ascii="Arial" w:hAnsi="Arial" w:cs="Arial"/>
          <w:sz w:val="19"/>
          <w:szCs w:val="19"/>
        </w:rPr>
        <w:t xml:space="preserve">По мнению Агентства, влияние негативных факторов на экономику и финансовую состоятельность города остается умеренным - промышленный комплекс частично адаптировался к рискам, которые возникли в связи с военным конфликтом на востоке Украины и введением торговых ограничений между Украиной и РФ. </w:t>
      </w:r>
      <w:r w:rsidRPr="004A107A">
        <w:rPr>
          <w:rStyle w:val="tlid-translation"/>
          <w:rFonts w:ascii="Arial" w:hAnsi="Arial" w:cs="Arial"/>
          <w:sz w:val="19"/>
          <w:szCs w:val="19"/>
        </w:rPr>
        <w:t>В то же время, усилились риски для экономики и бюджета города в связи с ожидаемым сокращением доходной базы в 2020 году, что обусловлено введением карантина и изменением законодательства в рамках действий, направленных на борьбу с Covid-19.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  <w:u w:val="single"/>
        </w:rPr>
      </w:pPr>
      <w:r w:rsidRPr="004A107A">
        <w:rPr>
          <w:rFonts w:ascii="Arial" w:hAnsi="Arial" w:cs="Arial"/>
          <w:sz w:val="19"/>
          <w:szCs w:val="19"/>
          <w:u w:val="single"/>
        </w:rPr>
        <w:t>5. Действия местных властей в направлении повышения инвестиционного потенциала города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  <w:u w:val="single"/>
        </w:rPr>
      </w:pPr>
      <w:r w:rsidRPr="004A107A">
        <w:rPr>
          <w:rFonts w:ascii="Arial" w:hAnsi="Arial" w:cs="Arial"/>
          <w:sz w:val="19"/>
          <w:szCs w:val="19"/>
        </w:rPr>
        <w:t xml:space="preserve">С 2011 года введен порядок представления, рассмотрения и отслеживания инвестиционных проектов по принципу «Единого инвестиционного окна». Функционирует Совет по вопросам привлечения инвестиций в экономику г. Сумы при городском голове. С целью обеспечения благоприятных условий для привлечения инвестиций в экономику, активизации экономического развития и повышения инвестиционной привлекательности города </w:t>
      </w:r>
      <w:r w:rsidRPr="004A107A">
        <w:rPr>
          <w:rStyle w:val="tlid-translation"/>
          <w:rFonts w:ascii="Arial" w:hAnsi="Arial" w:cs="Arial"/>
          <w:sz w:val="19"/>
          <w:szCs w:val="19"/>
        </w:rPr>
        <w:t>проводится работа в направлении создания</w:t>
      </w:r>
      <w:r w:rsidRPr="004A107A">
        <w:rPr>
          <w:rFonts w:ascii="Arial" w:hAnsi="Arial" w:cs="Arial"/>
          <w:sz w:val="19"/>
          <w:szCs w:val="19"/>
        </w:rPr>
        <w:t xml:space="preserve"> Индустриального парка «Сумы» и утверждение концепции его развития. Приказом Минэкономразвития Индустриальный парк «Сумы» включено в Реестр индустриальных (промышленных) парков Украины. </w:t>
      </w:r>
      <w:r w:rsidRPr="004A107A">
        <w:rPr>
          <w:rStyle w:val="tlid-translation"/>
          <w:rFonts w:ascii="Arial" w:hAnsi="Arial" w:cs="Arial"/>
          <w:sz w:val="19"/>
          <w:szCs w:val="19"/>
        </w:rPr>
        <w:t>Кроме того, проведена значительная работа в части повышения публичности и улучшения инвестиционного климата.</w:t>
      </w:r>
    </w:p>
    <w:p w:rsidR="003B5E33" w:rsidRPr="004A107A" w:rsidRDefault="003B5E33" w:rsidP="003B5E33">
      <w:pPr>
        <w:spacing w:after="10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A107A">
        <w:rPr>
          <w:rFonts w:ascii="Arial" w:hAnsi="Arial" w:cs="Arial"/>
          <w:sz w:val="19"/>
          <w:szCs w:val="19"/>
        </w:rPr>
        <w:t>Для проведения аналитического исследования были использованы материалы, полученные от города Сумы, в том числе: показатели социально-экономического развития, статистические данные, казначейская отчетность, программные материалы, другая необходимая внутренняя информация, а также информация из открытых источников, которую Рейтинговое агентство считает достоверной.</w:t>
      </w:r>
    </w:p>
    <w:p w:rsidR="003B5E33" w:rsidRPr="004A107A" w:rsidRDefault="003B5E33" w:rsidP="003B5E33">
      <w:pPr>
        <w:spacing w:after="0" w:line="240" w:lineRule="auto"/>
        <w:ind w:firstLine="284"/>
        <w:jc w:val="both"/>
        <w:rPr>
          <w:rStyle w:val="a3"/>
          <w:rFonts w:ascii="Arial" w:hAnsi="Arial" w:cs="Arial"/>
          <w:sz w:val="19"/>
          <w:szCs w:val="19"/>
        </w:rPr>
      </w:pPr>
      <w:r w:rsidRPr="004A107A">
        <w:rPr>
          <w:rStyle w:val="a3"/>
          <w:rFonts w:ascii="Arial" w:hAnsi="Arial" w:cs="Arial"/>
          <w:sz w:val="19"/>
          <w:szCs w:val="19"/>
        </w:rPr>
        <w:t>Муниципальный департамент</w:t>
      </w:r>
    </w:p>
    <w:p w:rsidR="003B5E33" w:rsidRPr="004A107A" w:rsidRDefault="003B5E33" w:rsidP="003B5E33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A107A">
        <w:rPr>
          <w:rFonts w:ascii="Arial" w:hAnsi="Arial" w:cs="Arial"/>
          <w:sz w:val="19"/>
          <w:szCs w:val="19"/>
        </w:rPr>
        <w:t>За дополнительной информацией обращайтесь:</w:t>
      </w:r>
    </w:p>
    <w:p w:rsidR="003B5E33" w:rsidRPr="003B5E33" w:rsidRDefault="00E17DDB" w:rsidP="003B5E33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  <w:lang w:val="en-US"/>
        </w:rPr>
      </w:pPr>
      <w:hyperlink r:id="rId5" w:history="1">
        <w:r w:rsidR="003B5E33" w:rsidRPr="00E17DDB">
          <w:rPr>
            <w:rStyle w:val="a4"/>
            <w:rFonts w:ascii="Arial" w:hAnsi="Arial" w:cs="Arial"/>
            <w:sz w:val="19"/>
            <w:szCs w:val="19"/>
          </w:rPr>
          <w:t>Пресс</w:t>
        </w:r>
        <w:r w:rsidR="003B5E33" w:rsidRPr="00E17DDB">
          <w:rPr>
            <w:rStyle w:val="a4"/>
            <w:rFonts w:ascii="Arial" w:hAnsi="Arial" w:cs="Arial"/>
            <w:sz w:val="19"/>
            <w:szCs w:val="19"/>
            <w:lang w:val="en-US"/>
          </w:rPr>
          <w:t>-</w:t>
        </w:r>
        <w:r w:rsidR="003B5E33" w:rsidRPr="00E17DDB">
          <w:rPr>
            <w:rStyle w:val="a4"/>
            <w:rFonts w:ascii="Arial" w:hAnsi="Arial" w:cs="Arial"/>
            <w:sz w:val="19"/>
            <w:szCs w:val="19"/>
          </w:rPr>
          <w:t>служба</w:t>
        </w:r>
        <w:r w:rsidR="003B5E33" w:rsidRPr="00E17DDB">
          <w:rPr>
            <w:rStyle w:val="a4"/>
            <w:rFonts w:ascii="Arial" w:hAnsi="Arial" w:cs="Arial"/>
            <w:sz w:val="19"/>
            <w:szCs w:val="19"/>
            <w:lang w:val="en-US"/>
          </w:rPr>
          <w:t xml:space="preserve"> IBI-Rating</w:t>
        </w:r>
      </w:hyperlink>
      <w:bookmarkStart w:id="0" w:name="_GoBack"/>
      <w:bookmarkEnd w:id="0"/>
    </w:p>
    <w:p w:rsidR="003B5E33" w:rsidRPr="003B5E33" w:rsidRDefault="003B5E33" w:rsidP="003B5E33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  <w:lang w:val="en-US"/>
        </w:rPr>
      </w:pPr>
      <w:r w:rsidRPr="003B5E33">
        <w:rPr>
          <w:rFonts w:ascii="Arial" w:hAnsi="Arial" w:cs="Arial"/>
          <w:sz w:val="19"/>
          <w:szCs w:val="19"/>
          <w:lang w:val="en-US"/>
        </w:rPr>
        <w:t>(044) 362-90-84</w:t>
      </w:r>
    </w:p>
    <w:p w:rsidR="00CD3163" w:rsidRPr="003B5E33" w:rsidRDefault="003B5E33" w:rsidP="003B5E33">
      <w:pPr>
        <w:spacing w:after="0" w:line="240" w:lineRule="auto"/>
        <w:ind w:firstLine="284"/>
        <w:jc w:val="both"/>
        <w:rPr>
          <w:lang w:val="en-US"/>
        </w:rPr>
      </w:pPr>
      <w:r w:rsidRPr="003B5E33">
        <w:rPr>
          <w:rFonts w:ascii="Arial" w:hAnsi="Arial" w:cs="Arial"/>
          <w:sz w:val="19"/>
          <w:szCs w:val="19"/>
          <w:lang w:val="en-US"/>
        </w:rPr>
        <w:t>press(at)ibi.com.ua</w:t>
      </w:r>
    </w:p>
    <w:sectPr w:rsidR="00CD3163" w:rsidRPr="003B5E33" w:rsidSect="003B5E3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EA"/>
    <w:rsid w:val="00246DEA"/>
    <w:rsid w:val="003B5E33"/>
    <w:rsid w:val="00CD3163"/>
    <w:rsid w:val="00E1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2CFC-1566-46BF-AFC7-FEA52C9A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E33"/>
    <w:rPr>
      <w:b/>
      <w:bCs/>
    </w:rPr>
  </w:style>
  <w:style w:type="character" w:styleId="a4">
    <w:name w:val="Hyperlink"/>
    <w:basedOn w:val="a0"/>
    <w:uiPriority w:val="99"/>
    <w:unhideWhenUsed/>
    <w:rsid w:val="003B5E33"/>
    <w:rPr>
      <w:color w:val="0000FF"/>
      <w:u w:val="single"/>
    </w:rPr>
  </w:style>
  <w:style w:type="character" w:customStyle="1" w:styleId="tlid-translation">
    <w:name w:val="tlid-translation"/>
    <w:basedOn w:val="a0"/>
    <w:rsid w:val="003B5E33"/>
  </w:style>
  <w:style w:type="character" w:styleId="a5">
    <w:name w:val="FollowedHyperlink"/>
    <w:basedOn w:val="a0"/>
    <w:uiPriority w:val="99"/>
    <w:semiHidden/>
    <w:unhideWhenUsed/>
    <w:rsid w:val="00E17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bi.com.ua/RU/news/informaciya-dlya-zm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2020-09-11T08:28:00Z</dcterms:created>
  <dcterms:modified xsi:type="dcterms:W3CDTF">2020-09-11T08:35:00Z</dcterms:modified>
</cp:coreProperties>
</file>