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24" w:space="0" w:color="A6A6A6"/>
        </w:tblBorders>
        <w:tblLook w:val="04A0"/>
      </w:tblPr>
      <w:tblGrid>
        <w:gridCol w:w="562"/>
        <w:gridCol w:w="9723"/>
        <w:gridCol w:w="562"/>
      </w:tblGrid>
      <w:tr w:rsidR="001D56C4" w:rsidRPr="00070EE0" w:rsidTr="00DF6F7E">
        <w:trPr>
          <w:trHeight w:val="862"/>
        </w:trPr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color w:val="003366"/>
                <w:spacing w:val="34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  <w:r w:rsidRPr="00070EE0">
              <w:rPr>
                <w:rFonts w:ascii="Myriad Pro" w:hAnsi="Myriad Pro" w:cs="Arial"/>
                <w:b/>
                <w:noProof/>
                <w:color w:val="969696"/>
                <w:lang w:eastAsia="ru-RU"/>
              </w:rPr>
              <w:drawing>
                <wp:inline distT="0" distB="0" distL="0" distR="0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</w:p>
        </w:tc>
      </w:tr>
      <w:tr w:rsidR="001D56C4" w:rsidRPr="00070EE0" w:rsidTr="00DF6F7E"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color w:val="969696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outlineLvl w:val="1"/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</w:pPr>
            <w:r w:rsidRPr="00070EE0"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  <w:t>ПРЕСРЕЛІЗ</w:t>
            </w:r>
          </w:p>
          <w:p w:rsidR="001D56C4" w:rsidRPr="00070EE0" w:rsidRDefault="001D56C4" w:rsidP="00436FE6">
            <w:pPr>
              <w:spacing w:after="0" w:line="240" w:lineRule="auto"/>
              <w:jc w:val="center"/>
              <w:outlineLvl w:val="1"/>
              <w:rPr>
                <w:rFonts w:ascii="Myriad Pro" w:hAnsi="Myriad Pro" w:cs="Arial"/>
                <w:b/>
                <w:bCs/>
                <w:smallCaps/>
                <w:color w:val="003366"/>
                <w:lang w:val="uk-UA" w:eastAsia="uk-UA"/>
              </w:rPr>
            </w:pPr>
          </w:p>
        </w:tc>
        <w:tc>
          <w:tcPr>
            <w:tcW w:w="259" w:type="pct"/>
            <w:shd w:val="clear" w:color="auto" w:fill="auto"/>
          </w:tcPr>
          <w:p w:rsidR="001D56C4" w:rsidRPr="00070EE0" w:rsidRDefault="001D56C4" w:rsidP="00436FE6">
            <w:pPr>
              <w:spacing w:after="0" w:line="240" w:lineRule="auto"/>
              <w:jc w:val="center"/>
              <w:rPr>
                <w:rFonts w:ascii="Myriad Pro" w:hAnsi="Myriad Pro" w:cs="Arial"/>
                <w:b/>
                <w:i/>
                <w:color w:val="003366"/>
                <w:lang w:val="uk-UA"/>
              </w:rPr>
            </w:pPr>
          </w:p>
        </w:tc>
      </w:tr>
    </w:tbl>
    <w:p w:rsidR="00DF6F7E" w:rsidRPr="00070EE0" w:rsidRDefault="00DF6F7E" w:rsidP="002172AC">
      <w:pPr>
        <w:spacing w:after="60" w:line="240" w:lineRule="auto"/>
        <w:jc w:val="both"/>
        <w:outlineLvl w:val="0"/>
        <w:rPr>
          <w:rFonts w:ascii="Myriad Pro" w:eastAsia="Times New Roman" w:hAnsi="Myriad Pro" w:cs="Arial"/>
          <w:b/>
          <w:bCs/>
          <w:kern w:val="36"/>
          <w:lang w:val="uk-UA" w:eastAsia="ru-RU"/>
        </w:rPr>
      </w:pPr>
      <w:r w:rsidRPr="00070EE0">
        <w:rPr>
          <w:rFonts w:ascii="Myriad Pro" w:eastAsia="Times New Roman" w:hAnsi="Myriad Pro" w:cs="Arial"/>
          <w:b/>
          <w:bCs/>
          <w:kern w:val="36"/>
          <w:lang w:val="uk-UA" w:eastAsia="ru-RU"/>
        </w:rPr>
        <w:t xml:space="preserve">IBI-Rating підтвердило кредитний рейтинг та рейтинг інвестиційної привабливості </w:t>
      </w:r>
      <w:r w:rsidR="0095199A" w:rsidRPr="00070EE0">
        <w:rPr>
          <w:rFonts w:ascii="Myriad Pro" w:eastAsia="Times New Roman" w:hAnsi="Myriad Pro" w:cs="Arial"/>
          <w:b/>
          <w:bCs/>
          <w:kern w:val="36"/>
          <w:lang w:val="uk-UA" w:eastAsia="ru-RU"/>
        </w:rPr>
        <w:t>Сумської міської територіальної громади</w:t>
      </w:r>
    </w:p>
    <w:p w:rsidR="00DF6F7E" w:rsidRPr="00070EE0" w:rsidRDefault="00DF6F7E" w:rsidP="00A4214B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 xml:space="preserve">Національне рейтингове агентство </w:t>
      </w:r>
      <w:proofErr w:type="spellStart"/>
      <w:r w:rsidRPr="00070EE0">
        <w:rPr>
          <w:rFonts w:ascii="Myriad Pro" w:hAnsi="Myriad Pro" w:cs="Arial"/>
          <w:lang w:val="uk-UA"/>
        </w:rPr>
        <w:t>ІВІ-Rating</w:t>
      </w:r>
      <w:proofErr w:type="spellEnd"/>
      <w:r w:rsidRPr="00070EE0">
        <w:rPr>
          <w:rFonts w:ascii="Myriad Pro" w:hAnsi="Myriad Pro" w:cs="Arial"/>
          <w:lang w:val="uk-UA"/>
        </w:rPr>
        <w:t xml:space="preserve"> повідомляє про підтвердження кредитного рейтингу </w:t>
      </w:r>
      <w:r w:rsidR="00A4214B" w:rsidRPr="00070EE0">
        <w:rPr>
          <w:rFonts w:ascii="Myriad Pro" w:hAnsi="Myriad Pro" w:cs="Arial"/>
          <w:lang w:val="uk-UA"/>
        </w:rPr>
        <w:t xml:space="preserve">Сумської міської територіальної громади </w:t>
      </w:r>
      <w:r w:rsidRPr="00070EE0">
        <w:rPr>
          <w:rFonts w:ascii="Myriad Pro" w:hAnsi="Myriad Pro" w:cs="Arial"/>
          <w:lang w:val="uk-UA"/>
        </w:rPr>
        <w:t xml:space="preserve"> </w:t>
      </w:r>
      <w:r w:rsidR="002172AC" w:rsidRPr="00070EE0">
        <w:rPr>
          <w:rFonts w:ascii="Myriad Pro" w:hAnsi="Myriad Pro" w:cs="Arial"/>
          <w:lang w:val="uk-UA"/>
        </w:rPr>
        <w:t xml:space="preserve">на </w:t>
      </w:r>
      <w:r w:rsidRPr="00070EE0">
        <w:rPr>
          <w:rFonts w:ascii="Myriad Pro" w:hAnsi="Myriad Pro" w:cs="Arial"/>
          <w:lang w:val="uk-UA"/>
        </w:rPr>
        <w:t xml:space="preserve">рівні </w:t>
      </w:r>
      <w:proofErr w:type="spellStart"/>
      <w:r w:rsidRPr="00070EE0">
        <w:rPr>
          <w:rStyle w:val="a3"/>
          <w:rFonts w:ascii="Myriad Pro" w:hAnsi="Myriad Pro" w:cs="Arial"/>
          <w:lang w:val="uk-UA"/>
        </w:rPr>
        <w:t>uaА-</w:t>
      </w:r>
      <w:proofErr w:type="spellEnd"/>
      <w:r w:rsidRPr="00070EE0">
        <w:rPr>
          <w:rFonts w:ascii="Myriad Pro" w:hAnsi="Myriad Pro" w:cs="Arial"/>
          <w:lang w:val="uk-UA"/>
        </w:rPr>
        <w:t xml:space="preserve"> з прогнозом </w:t>
      </w:r>
      <w:r w:rsidRPr="00070EE0">
        <w:rPr>
          <w:rStyle w:val="a3"/>
          <w:rFonts w:ascii="Myriad Pro" w:hAnsi="Myriad Pro" w:cs="Arial"/>
          <w:lang w:val="uk-UA"/>
        </w:rPr>
        <w:t>«</w:t>
      </w:r>
      <w:r w:rsidR="0016328D" w:rsidRPr="00070EE0">
        <w:rPr>
          <w:rStyle w:val="a3"/>
          <w:rFonts w:ascii="Myriad Pro" w:hAnsi="Myriad Pro" w:cs="Arial"/>
          <w:lang w:val="uk-UA"/>
        </w:rPr>
        <w:t xml:space="preserve">негативний </w:t>
      </w:r>
      <w:r w:rsidRPr="00070EE0">
        <w:rPr>
          <w:rStyle w:val="a3"/>
          <w:rFonts w:ascii="Myriad Pro" w:hAnsi="Myriad Pro" w:cs="Arial"/>
          <w:lang w:val="uk-UA"/>
        </w:rPr>
        <w:t>»</w:t>
      </w:r>
      <w:r w:rsidRPr="00070EE0">
        <w:rPr>
          <w:rFonts w:ascii="Myriad Pro" w:hAnsi="Myriad Pro" w:cs="Arial"/>
          <w:lang w:val="uk-UA"/>
        </w:rPr>
        <w:t xml:space="preserve"> та </w:t>
      </w:r>
      <w:r w:rsidR="0016328D" w:rsidRPr="00070EE0">
        <w:rPr>
          <w:rFonts w:ascii="Myriad Pro" w:hAnsi="Myriad Pro" w:cs="Arial"/>
          <w:lang w:val="uk-UA"/>
        </w:rPr>
        <w:t xml:space="preserve">збереженням у контрольному списку ( </w:t>
      </w:r>
      <w:proofErr w:type="spellStart"/>
      <w:r w:rsidR="0016328D" w:rsidRPr="00070EE0">
        <w:rPr>
          <w:rFonts w:ascii="Myriad Pro" w:eastAsia="Times New Roman" w:hAnsi="Myriad Pro" w:cs="Arial"/>
          <w:color w:val="1F1F1F"/>
          <w:lang w:eastAsia="ru-RU"/>
        </w:rPr>
        <w:t>CreditWatch</w:t>
      </w:r>
      <w:proofErr w:type="spellEnd"/>
      <w:r w:rsidR="0016328D" w:rsidRPr="00070EE0">
        <w:rPr>
          <w:rFonts w:ascii="Myriad Pro" w:eastAsia="Times New Roman" w:hAnsi="Myriad Pro" w:cs="Arial"/>
          <w:color w:val="1F1F1F"/>
          <w:lang w:val="uk-UA" w:eastAsia="ru-RU"/>
        </w:rPr>
        <w:t>),</w:t>
      </w:r>
      <w:r w:rsidR="0016328D" w:rsidRPr="00070EE0">
        <w:rPr>
          <w:rFonts w:ascii="Myriad Pro" w:hAnsi="Myriad Pro"/>
          <w:b/>
          <w:lang w:val="uk-UA"/>
        </w:rPr>
        <w:t xml:space="preserve"> </w:t>
      </w:r>
      <w:r w:rsidR="0016328D" w:rsidRPr="00070EE0">
        <w:rPr>
          <w:rFonts w:ascii="Myriad Pro" w:hAnsi="Myriad Pro" w:cs="Arial"/>
          <w:lang w:val="uk-UA"/>
        </w:rPr>
        <w:t xml:space="preserve">та </w:t>
      </w:r>
      <w:r w:rsidRPr="00070EE0">
        <w:rPr>
          <w:rFonts w:ascii="Myriad Pro" w:hAnsi="Myriad Pro" w:cs="Arial"/>
          <w:lang w:val="uk-UA"/>
        </w:rPr>
        <w:t xml:space="preserve">рейтингу інвестиційної привабливості на рівні </w:t>
      </w:r>
      <w:proofErr w:type="spellStart"/>
      <w:r w:rsidRPr="00070EE0">
        <w:rPr>
          <w:rStyle w:val="a3"/>
          <w:rFonts w:ascii="Myriad Pro" w:hAnsi="Myriad Pro" w:cs="Arial"/>
          <w:lang w:val="uk-UA"/>
        </w:rPr>
        <w:t>invА-</w:t>
      </w:r>
      <w:proofErr w:type="spellEnd"/>
      <w:r w:rsidRPr="00070EE0">
        <w:rPr>
          <w:rFonts w:ascii="Myriad Pro" w:hAnsi="Myriad Pro" w:cs="Arial"/>
          <w:lang w:val="uk-UA"/>
        </w:rPr>
        <w:t>.</w:t>
      </w:r>
    </w:p>
    <w:p w:rsidR="0016328D" w:rsidRPr="00070EE0" w:rsidRDefault="00DF6F7E" w:rsidP="0016328D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 xml:space="preserve">Такі рівні рейтингів відображають високу спроможність </w:t>
      </w:r>
      <w:r w:rsidR="00A4214B" w:rsidRPr="00070EE0">
        <w:rPr>
          <w:rFonts w:ascii="Myriad Pro" w:hAnsi="Myriad Pro" w:cs="Arial"/>
          <w:lang w:val="uk-UA"/>
        </w:rPr>
        <w:t>громади</w:t>
      </w:r>
      <w:r w:rsidRPr="00070EE0">
        <w:rPr>
          <w:rFonts w:ascii="Myriad Pro" w:hAnsi="Myriad Pro" w:cs="Arial"/>
          <w:lang w:val="uk-UA"/>
        </w:rPr>
        <w:t xml:space="preserve"> розраховуватися за своїми зобов'язаннями та високу інвестиційну привабливість. </w:t>
      </w:r>
      <w:r w:rsidR="0016328D" w:rsidRPr="00070EE0">
        <w:rPr>
          <w:rFonts w:ascii="Myriad Pro" w:hAnsi="Myriad Pro" w:cs="Arial"/>
          <w:lang w:val="uk-UA"/>
        </w:rPr>
        <w:t xml:space="preserve">Позначка </w:t>
      </w:r>
      <w:r w:rsidR="0016328D" w:rsidRPr="00070EE0">
        <w:rPr>
          <w:rStyle w:val="a3"/>
          <w:rFonts w:ascii="Myriad Pro" w:hAnsi="Myriad Pro" w:cs="Arial"/>
          <w:lang w:val="uk-UA"/>
        </w:rPr>
        <w:t>«-»</w:t>
      </w:r>
      <w:r w:rsidR="0016328D" w:rsidRPr="00070EE0">
        <w:rPr>
          <w:rFonts w:ascii="Myriad Pro" w:hAnsi="Myriad Pro" w:cs="Arial"/>
          <w:lang w:val="uk-UA"/>
        </w:rPr>
        <w:t xml:space="preserve"> вказує на проміжну категорію рейтингу відносно основної категорії.</w:t>
      </w:r>
    </w:p>
    <w:p w:rsidR="0016328D" w:rsidRPr="00070EE0" w:rsidRDefault="0016328D" w:rsidP="0016328D">
      <w:pPr>
        <w:spacing w:before="120" w:after="120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b/>
          <w:bCs/>
          <w:color w:val="225171"/>
          <w:lang w:val="uk-UA" w:eastAsia="ru-RU"/>
        </w:rPr>
        <w:t>Прогноз «негативний»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вказує на високу ймовірність зниження  кредитного рейтингу протягом року. Прогноз «негативний» та знаходження у контрольному списку обумовлені погіршенням умов діяльності та посиленням невизначеності щодо перспектив розвитку економіки на тлі тривалих військових дій на території України через агресію з боку РФ.</w:t>
      </w:r>
      <w:r w:rsidRPr="00070EE0">
        <w:rPr>
          <w:rFonts w:ascii="Myriad Pro" w:hAnsi="Myriad Pro" w:cs="Arial"/>
          <w:lang w:val="uk-UA"/>
        </w:rPr>
        <w:t xml:space="preserve"> На даний час такий прогноз застосовується до усіх суб’єктів </w:t>
      </w:r>
      <w:proofErr w:type="spellStart"/>
      <w:r w:rsidRPr="00070EE0">
        <w:rPr>
          <w:rFonts w:ascii="Myriad Pro" w:hAnsi="Myriad Pro" w:cs="Arial"/>
          <w:lang w:val="uk-UA"/>
        </w:rPr>
        <w:t>рейтингування</w:t>
      </w:r>
      <w:proofErr w:type="spellEnd"/>
      <w:r w:rsidRPr="00070EE0">
        <w:rPr>
          <w:rFonts w:ascii="Myriad Pro" w:hAnsi="Myriad Pro" w:cs="Arial"/>
          <w:lang w:val="uk-UA"/>
        </w:rPr>
        <w:t>.</w:t>
      </w:r>
    </w:p>
    <w:p w:rsidR="00DF6F7E" w:rsidRPr="00070EE0" w:rsidRDefault="00DF6F7E" w:rsidP="00DF6F7E">
      <w:pPr>
        <w:spacing w:after="60" w:line="240" w:lineRule="auto"/>
        <w:ind w:firstLine="284"/>
        <w:jc w:val="both"/>
        <w:rPr>
          <w:rStyle w:val="a3"/>
          <w:rFonts w:ascii="Myriad Pro" w:hAnsi="Myriad Pro" w:cs="Arial"/>
          <w:lang w:val="uk-UA"/>
        </w:rPr>
      </w:pPr>
      <w:r w:rsidRPr="00070EE0">
        <w:rPr>
          <w:rStyle w:val="a3"/>
          <w:rFonts w:ascii="Myriad Pro" w:hAnsi="Myriad Pro" w:cs="Arial"/>
          <w:lang w:val="uk-UA"/>
        </w:rPr>
        <w:t>При оновленні рейтингів було враховано:</w:t>
      </w:r>
    </w:p>
    <w:p w:rsidR="00DF6F7E" w:rsidRPr="00070EE0" w:rsidRDefault="00DF6F7E" w:rsidP="00DF6F7E">
      <w:pPr>
        <w:spacing w:after="60" w:line="240" w:lineRule="auto"/>
        <w:ind w:firstLine="284"/>
        <w:jc w:val="both"/>
        <w:rPr>
          <w:rFonts w:ascii="Myriad Pro" w:hAnsi="Myriad Pro" w:cs="Arial"/>
          <w:u w:val="single"/>
          <w:lang w:val="uk-UA"/>
        </w:rPr>
      </w:pPr>
      <w:r w:rsidRPr="00070EE0">
        <w:rPr>
          <w:rFonts w:ascii="Myriad Pro" w:hAnsi="Myriad Pro" w:cs="Arial"/>
          <w:u w:val="single"/>
          <w:lang w:val="uk-UA"/>
        </w:rPr>
        <w:t xml:space="preserve">1. Структуру економічного комплексу </w:t>
      </w:r>
      <w:r w:rsidR="007B727C" w:rsidRPr="00070EE0">
        <w:rPr>
          <w:rFonts w:ascii="Myriad Pro" w:hAnsi="Myriad Pro" w:cs="Arial"/>
          <w:u w:val="single"/>
          <w:lang w:val="uk-UA"/>
        </w:rPr>
        <w:t>та ефект</w:t>
      </w:r>
      <w:r w:rsidR="00825017" w:rsidRPr="00070EE0">
        <w:rPr>
          <w:rFonts w:ascii="Myriad Pro" w:hAnsi="Myriad Pro" w:cs="Arial"/>
          <w:u w:val="single"/>
          <w:lang w:val="uk-UA"/>
        </w:rPr>
        <w:t>ив</w:t>
      </w:r>
      <w:r w:rsidR="007B727C" w:rsidRPr="00070EE0">
        <w:rPr>
          <w:rFonts w:ascii="Myriad Pro" w:hAnsi="Myriad Pro" w:cs="Arial"/>
          <w:u w:val="single"/>
          <w:lang w:val="uk-UA"/>
        </w:rPr>
        <w:t>ність  фінансової політики</w:t>
      </w:r>
    </w:p>
    <w:p w:rsidR="006F371E" w:rsidRPr="006F371E" w:rsidRDefault="006F371E" w:rsidP="006F371E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СМТГ має достатньо високі показники соціально-економічного розвитку. На території </w:t>
      </w:r>
      <w:r>
        <w:rPr>
          <w:rFonts w:ascii="Myriad Pro" w:eastAsia="Times New Roman" w:hAnsi="Myriad Pro" w:cs="Arial"/>
          <w:color w:val="1F1F1F"/>
          <w:lang w:val="uk-UA" w:eastAsia="ru-RU"/>
        </w:rPr>
        <w:t xml:space="preserve">громади </w:t>
      </w:r>
      <w:r w:rsidRPr="006F371E">
        <w:rPr>
          <w:rFonts w:ascii="Myriad Pro" w:eastAsia="Times New Roman" w:hAnsi="Myriad Pro" w:cs="Arial"/>
          <w:color w:val="1F1F1F"/>
          <w:lang w:val="uk-UA" w:eastAsia="ru-RU"/>
        </w:rPr>
        <w:t>працюють майже 500 економічно активних промислових підприємств</w:t>
      </w:r>
      <w:r w:rsidRPr="006F371E">
        <w:rPr>
          <w:rFonts w:ascii="Myriad Pro" w:eastAsia="Times New Roman" w:hAnsi="Myriad Pro" w:cs="Arial"/>
          <w:color w:val="1F1F1F"/>
          <w:lang w:eastAsia="ru-RU"/>
        </w:rPr>
        <w:t>.</w:t>
      </w:r>
    </w:p>
    <w:p w:rsidR="00D92064" w:rsidRPr="00070EE0" w:rsidRDefault="00D92064" w:rsidP="004B2368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За 9 міс. 2022 року доходи бюджету Сумської міської ТГ склали 2,34 млрд.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(+6,71% у порівнянні з попереднім роком). Власні доходи бюджету громади за результатами 9 міс. 2022 року склали 1,93 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млрд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(+146,63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у порівнянні з 9 міс. 2021року</w:t>
      </w:r>
      <w:r w:rsidR="006F371E">
        <w:rPr>
          <w:rFonts w:ascii="Myriad Pro" w:eastAsia="Times New Roman" w:hAnsi="Myriad Pro" w:cs="Arial"/>
          <w:color w:val="1F1F1F"/>
          <w:lang w:val="uk-UA" w:eastAsia="ru-RU"/>
        </w:rPr>
        <w:t>)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>.</w:t>
      </w:r>
    </w:p>
    <w:p w:rsidR="00D92064" w:rsidRPr="00070EE0" w:rsidRDefault="006F371E" w:rsidP="004B2368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6F371E">
        <w:rPr>
          <w:rFonts w:ascii="Myriad Pro" w:eastAsia="Times New Roman" w:hAnsi="Myriad Pro" w:cs="Arial"/>
          <w:color w:val="1F1F1F"/>
          <w:lang w:val="uk-UA" w:eastAsia="ru-RU"/>
        </w:rPr>
        <w:t>К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онцентрація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за 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платниками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податків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є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помірною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. </w:t>
      </w:r>
      <w:r w:rsidR="00D92064" w:rsidRPr="00070EE0">
        <w:rPr>
          <w:rFonts w:ascii="Myriad Pro" w:eastAsia="Times New Roman" w:hAnsi="Myriad Pro" w:cs="Arial"/>
          <w:color w:val="1F1F1F"/>
          <w:lang w:val="uk-UA" w:eastAsia="ru-RU"/>
        </w:rPr>
        <w:t>Обсяг податків, сплачених</w:t>
      </w:r>
      <w:r>
        <w:rPr>
          <w:rFonts w:ascii="Myriad Pro" w:eastAsia="Times New Roman" w:hAnsi="Myriad Pro" w:cs="Arial"/>
          <w:color w:val="1F1F1F"/>
          <w:lang w:val="uk-UA" w:eastAsia="ru-RU"/>
        </w:rPr>
        <w:t xml:space="preserve"> до бюджету громади </w:t>
      </w:r>
      <w:r w:rsidR="00D92064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ТОП-20 платниками за 9 міс.2022 року, склав 538,11 </w:t>
      </w:r>
      <w:proofErr w:type="spellStart"/>
      <w:r w:rsidR="00D92064"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="00D92064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="00D92064"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r w:rsidR="00D92064" w:rsidRPr="00070EE0">
        <w:rPr>
          <w:rFonts w:ascii="Myriad Pro" w:eastAsia="Times New Roman" w:hAnsi="Myriad Pro" w:cs="Arial"/>
          <w:color w:val="1F1F1F"/>
          <w:lang w:val="uk-UA" w:eastAsia="ru-RU"/>
        </w:rPr>
        <w:t>(30,20% від загального обсягу податкових надходжень, отриманих бюджетом ТГ та 27,86% від власних доходів бюджету громади).</w:t>
      </w:r>
    </w:p>
    <w:p w:rsidR="0068016E" w:rsidRPr="00070EE0" w:rsidRDefault="000A2706" w:rsidP="006F371E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Обсяг власних доходів бюджету громади  </w:t>
      </w:r>
      <w:r w:rsidR="007B727C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перевищує середні показники по місцевих бюджетах. Показник </w:t>
      </w:r>
      <w:r w:rsidR="00DF6F7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податкоспроможності бюджету </w:t>
      </w:r>
      <w:r w:rsidR="0026180F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Сумської міської ТГ </w:t>
      </w:r>
      <w:r w:rsidR="00DF6F7E" w:rsidRPr="00070EE0">
        <w:rPr>
          <w:rFonts w:ascii="Myriad Pro" w:eastAsia="Times New Roman" w:hAnsi="Myriad Pro" w:cs="Arial"/>
          <w:color w:val="1F1F1F"/>
          <w:lang w:val="uk-UA" w:eastAsia="ru-RU"/>
        </w:rPr>
        <w:t>(ПДФО на 1 мешканця)  є вищим за середній по країні, через що бюджет залишаєт</w:t>
      </w:r>
      <w:r w:rsidR="00A10A5E" w:rsidRPr="00070EE0">
        <w:rPr>
          <w:rFonts w:ascii="Myriad Pro" w:eastAsia="Times New Roman" w:hAnsi="Myriad Pro" w:cs="Arial"/>
          <w:color w:val="1F1F1F"/>
          <w:lang w:val="uk-UA" w:eastAsia="ru-RU"/>
        </w:rPr>
        <w:t>ься бюджетом-донором, перерах</w:t>
      </w:r>
      <w:r w:rsidR="00981C7C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овуючи </w:t>
      </w:r>
      <w:r w:rsidR="00DF6F7E" w:rsidRPr="00070EE0">
        <w:rPr>
          <w:rFonts w:ascii="Myriad Pro" w:eastAsia="Times New Roman" w:hAnsi="Myriad Pro" w:cs="Arial"/>
          <w:color w:val="1F1F1F"/>
          <w:lang w:val="uk-UA" w:eastAsia="ru-RU"/>
        </w:rPr>
        <w:t>до державного бюджету реверсну дотацію</w:t>
      </w:r>
      <w:r w:rsidR="00825017" w:rsidRPr="00070EE0">
        <w:rPr>
          <w:rFonts w:ascii="Myriad Pro" w:eastAsia="Times New Roman" w:hAnsi="Myriad Pro" w:cs="Arial"/>
          <w:color w:val="1F1F1F"/>
          <w:lang w:val="uk-UA" w:eastAsia="ru-RU"/>
        </w:rPr>
        <w:t>.</w:t>
      </w:r>
      <w:r w:rsidR="006F371E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Обсяг реверсної дотації за 9 міс. 2022 року склав 23,79 </w:t>
      </w:r>
      <w:proofErr w:type="spellStart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, за 9 міс 2021 року – 75,65 </w:t>
      </w:r>
      <w:proofErr w:type="spellStart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грн. Загальний обсяг міжбюджетних трансфертів, перерахованих з бюджету СМТГ, за 9 міс. 2022 року склав 35,31 </w:t>
      </w:r>
      <w:proofErr w:type="spellStart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, за 9 міс. 2021 року – 149,08 </w:t>
      </w:r>
      <w:proofErr w:type="spellStart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="0068016E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грн. </w:t>
      </w:r>
    </w:p>
    <w:p w:rsidR="0068016E" w:rsidRPr="00070EE0" w:rsidRDefault="0068016E" w:rsidP="0068016E">
      <w:pPr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Профіцит бюджету громади за 9 міс. 2022 року склав 498,07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(профіцит загального фонду 502,19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та дефіцит спеціального фонду 4,12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). За результатами 9 міс. 2021 року спостерігався профіцит </w:t>
      </w:r>
      <w:bookmarkStart w:id="0" w:name="OLE_LINK5"/>
      <w:r w:rsidRPr="00070EE0">
        <w:rPr>
          <w:rFonts w:ascii="Myriad Pro" w:eastAsia="Times New Roman" w:hAnsi="Myriad Pro" w:cs="Arial"/>
          <w:color w:val="1F1F1F"/>
          <w:lang w:val="uk-UA" w:eastAsia="ru-RU"/>
        </w:rPr>
        <w:t>242,03</w:t>
      </w:r>
      <w:bookmarkEnd w:id="0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млн грн. </w:t>
      </w:r>
    </w:p>
    <w:p w:rsidR="0068016E" w:rsidRPr="00070EE0" w:rsidRDefault="0068016E" w:rsidP="0068016E">
      <w:pPr>
        <w:spacing w:after="120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Станом на 01.10.2022 р. загальна сума боргу місцевого боргу складала 89,49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млн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грн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(3% від планових  власних доходів громади за 2022 рік).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Спі</w:t>
      </w:r>
      <w:proofErr w:type="gram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вв</w:t>
      </w:r>
      <w:proofErr w:type="gram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>ідношення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консолідованого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боргу  до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власних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доходів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бюджету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громади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є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низьким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:  до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доходів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за 2021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рік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   8,5%, до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планових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доходів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за 2022 </w:t>
      </w:r>
      <w:proofErr w:type="spellStart"/>
      <w:r w:rsidRPr="00070EE0">
        <w:rPr>
          <w:rFonts w:ascii="Myriad Pro" w:eastAsia="Times New Roman" w:hAnsi="Myriad Pro" w:cs="Arial"/>
          <w:color w:val="1F1F1F"/>
          <w:lang w:val="uk-UA" w:eastAsia="ru-RU"/>
        </w:rPr>
        <w:t>рік</w:t>
      </w:r>
      <w:proofErr w:type="spellEnd"/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–  7,1%. </w:t>
      </w:r>
    </w:p>
    <w:p w:rsidR="0068016E" w:rsidRPr="00070EE0" w:rsidRDefault="0068016E" w:rsidP="006F371E">
      <w:pPr>
        <w:spacing w:after="120"/>
        <w:jc w:val="both"/>
        <w:rPr>
          <w:rFonts w:ascii="Myriad Pro" w:hAnsi="Myriad Pro"/>
          <w:szCs w:val="20"/>
          <w:lang w:val="uk-UA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>Низьке боргове навантаження на дохідну частину бюджету дозволяє міській владі розраховувати на залучення додаткових фінансових ресурсів у т. ч., кредитних, для фінансування заходів соціально-економічного розвитку міста та інфраструктурні проєкти.</w:t>
      </w:r>
    </w:p>
    <w:p w:rsidR="0068016E" w:rsidRPr="00070EE0" w:rsidRDefault="0068016E" w:rsidP="0068016E">
      <w:pPr>
        <w:spacing w:after="120"/>
        <w:rPr>
          <w:rFonts w:ascii="Myriad Pro" w:eastAsia="Times New Roman" w:hAnsi="Myriad Pro" w:cs="Arial"/>
          <w:color w:val="1F1F1F"/>
          <w:lang w:val="uk-UA" w:eastAsia="ru-RU"/>
        </w:rPr>
      </w:pPr>
    </w:p>
    <w:p w:rsidR="00DF6F7E" w:rsidRPr="00070EE0" w:rsidRDefault="00825017" w:rsidP="00872446">
      <w:pPr>
        <w:jc w:val="both"/>
        <w:rPr>
          <w:rFonts w:ascii="Myriad Pro" w:hAnsi="Myriad Pro" w:cs="Arial"/>
          <w:u w:val="single"/>
          <w:lang w:val="uk-UA"/>
        </w:rPr>
      </w:pPr>
      <w:r w:rsidRPr="00070EE0">
        <w:rPr>
          <w:rFonts w:ascii="Myriad Pro" w:hAnsi="Myriad Pro" w:cs="Arial"/>
          <w:u w:val="single"/>
          <w:lang w:val="uk-UA"/>
        </w:rPr>
        <w:t>2</w:t>
      </w:r>
      <w:r w:rsidR="00DF6F7E" w:rsidRPr="00070EE0">
        <w:rPr>
          <w:rFonts w:ascii="Myriad Pro" w:hAnsi="Myriad Pro" w:cs="Arial"/>
          <w:u w:val="single"/>
          <w:lang w:val="uk-UA"/>
        </w:rPr>
        <w:t xml:space="preserve">. </w:t>
      </w:r>
      <w:r w:rsidR="004B09D6" w:rsidRPr="00070EE0">
        <w:rPr>
          <w:rFonts w:ascii="Myriad Pro" w:hAnsi="Myriad Pro" w:cs="Arial"/>
          <w:u w:val="single"/>
          <w:lang w:val="uk-UA"/>
        </w:rPr>
        <w:t>І</w:t>
      </w:r>
      <w:r w:rsidR="00DF6F7E" w:rsidRPr="00070EE0">
        <w:rPr>
          <w:rFonts w:ascii="Myriad Pro" w:hAnsi="Myriad Pro" w:cs="Arial"/>
          <w:u w:val="single"/>
          <w:lang w:val="uk-UA"/>
        </w:rPr>
        <w:t>нвестиційн</w:t>
      </w:r>
      <w:r w:rsidR="004B09D6" w:rsidRPr="00070EE0">
        <w:rPr>
          <w:rFonts w:ascii="Myriad Pro" w:hAnsi="Myriad Pro" w:cs="Arial"/>
          <w:u w:val="single"/>
          <w:lang w:val="uk-UA"/>
        </w:rPr>
        <w:t>ий</w:t>
      </w:r>
      <w:r w:rsidR="00DF6F7E" w:rsidRPr="00070EE0">
        <w:rPr>
          <w:rFonts w:ascii="Myriad Pro" w:hAnsi="Myriad Pro" w:cs="Arial"/>
          <w:u w:val="single"/>
          <w:lang w:val="uk-UA"/>
        </w:rPr>
        <w:t xml:space="preserve"> потенціал </w:t>
      </w:r>
    </w:p>
    <w:p w:rsidR="00A03241" w:rsidRDefault="004B09D6" w:rsidP="002172AC">
      <w:pPr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hAnsi="Myriad Pro"/>
          <w:lang w:val="uk-UA"/>
        </w:rPr>
        <w:t xml:space="preserve">В м. Суми функціонує розвинена система транспортного 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>обслуговування</w:t>
      </w:r>
      <w:r w:rsidRPr="00070EE0">
        <w:rPr>
          <w:rFonts w:ascii="Myriad Pro" w:hAnsi="Myriad Pro"/>
          <w:lang w:val="uk-UA"/>
        </w:rPr>
        <w:t xml:space="preserve">. На території міста наявна велика </w:t>
      </w:r>
      <w:r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залізнична станція; через місто проходять 2 автошляхи національного значення та 2 автошляхи регіонального значення. </w:t>
      </w:r>
      <w:r w:rsidR="002172AC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Функціонує автовокзал, </w:t>
      </w:r>
      <w:r w:rsidR="005026B0" w:rsidRPr="00070EE0">
        <w:rPr>
          <w:rFonts w:ascii="Myriad Pro" w:eastAsia="Times New Roman" w:hAnsi="Myriad Pro" w:cs="Arial"/>
          <w:color w:val="1F1F1F"/>
          <w:lang w:val="uk-UA" w:eastAsia="ru-RU"/>
        </w:rPr>
        <w:t>з якого здійснюються міжнародні та міжміські перевезення. Також наявна приміська автостанція.</w:t>
      </w:r>
      <w:r w:rsidR="002172AC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В межах міста розташований аеропорт «Суми» (перебуває в комунальній власності Сумської обласної ради), який функціонує в режимі приватних перевезень.</w:t>
      </w:r>
    </w:p>
    <w:p w:rsidR="006F371E" w:rsidRPr="006F371E" w:rsidRDefault="006F371E" w:rsidP="006F371E">
      <w:pPr>
        <w:rPr>
          <w:rFonts w:ascii="Myriad Pro" w:eastAsia="Times New Roman" w:hAnsi="Myriad Pro" w:cs="Arial"/>
          <w:color w:val="1F1F1F"/>
          <w:lang w:val="uk-UA" w:eastAsia="ru-RU"/>
        </w:rPr>
      </w:pPr>
      <w:r w:rsidRPr="006F371E">
        <w:rPr>
          <w:rFonts w:ascii="Myriad Pro" w:eastAsia="Times New Roman" w:hAnsi="Myriad Pro" w:cs="Arial"/>
          <w:color w:val="1F1F1F"/>
          <w:lang w:val="uk-UA" w:eastAsia="ru-RU"/>
        </w:rPr>
        <w:lastRenderedPageBreak/>
        <w:t xml:space="preserve">На території Сумської міської територіальної громади наявні 2 родовища корисних копалин: Сумська Ділянка 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Коптіївщини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– родовище будівельного піску </w:t>
      </w:r>
      <w:proofErr w:type="spellStart"/>
      <w:r w:rsidRPr="006F371E">
        <w:rPr>
          <w:rFonts w:ascii="Myriad Pro" w:eastAsia="Times New Roman" w:hAnsi="Myriad Pro" w:cs="Arial"/>
          <w:color w:val="1F1F1F"/>
          <w:lang w:val="uk-UA" w:eastAsia="ru-RU"/>
        </w:rPr>
        <w:t>Піщанське</w:t>
      </w:r>
      <w:proofErr w:type="spellEnd"/>
      <w:r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– родовище цегельної сировини .</w:t>
      </w:r>
    </w:p>
    <w:p w:rsidR="00825017" w:rsidRPr="00070EE0" w:rsidRDefault="00825017" w:rsidP="007C6E06">
      <w:pPr>
        <w:spacing w:after="60" w:line="240" w:lineRule="auto"/>
        <w:jc w:val="both"/>
        <w:rPr>
          <w:rFonts w:ascii="Myriad Pro" w:eastAsia="Times New Roman" w:hAnsi="Myriad Pro" w:cs="Arial"/>
          <w:color w:val="1F1F1F"/>
          <w:lang w:val="uk-UA" w:eastAsia="ru-RU"/>
        </w:rPr>
      </w:pPr>
      <w:r w:rsidRPr="00070EE0">
        <w:rPr>
          <w:rFonts w:ascii="Myriad Pro" w:eastAsia="Times New Roman" w:hAnsi="Myriad Pro" w:cs="Arial"/>
          <w:color w:val="1F1F1F"/>
          <w:lang w:val="uk-UA" w:eastAsia="ru-RU"/>
        </w:rPr>
        <w:t>Сумська міська територіальна громада в достатній мірі забезпечена кваліфікованим персоналом та має потужний кадровий потенціал: в місті сконцентровано основні вищі та середньо-спеціалізовані навчальні заклади регіону.</w:t>
      </w:r>
    </w:p>
    <w:p w:rsidR="00A03241" w:rsidRPr="00070EE0" w:rsidRDefault="007C6E06" w:rsidP="007C6E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Наявна розвинена торгівельна,</w:t>
      </w:r>
      <w:r w:rsidR="002172AC" w:rsidRPr="00070EE0">
        <w:rPr>
          <w:rFonts w:ascii="Myriad Pro" w:hAnsi="Myriad Pro" w:cs="Arial"/>
          <w:lang w:val="uk-UA"/>
        </w:rPr>
        <w:t xml:space="preserve"> </w:t>
      </w:r>
      <w:r w:rsidRPr="00070EE0">
        <w:rPr>
          <w:rFonts w:ascii="Myriad Pro" w:hAnsi="Myriad Pro" w:cs="Arial"/>
          <w:lang w:val="uk-UA"/>
        </w:rPr>
        <w:t>промислова та бізнес- інфраструктура. П</w:t>
      </w:r>
      <w:r w:rsidRPr="00070EE0">
        <w:rPr>
          <w:rFonts w:ascii="Myriad Pro" w:eastAsia="Times New Roman" w:hAnsi="Myriad Pro" w:cs="Arial"/>
          <w:lang w:val="uk-UA" w:eastAsia="ru-RU"/>
        </w:rPr>
        <w:t>роводиться робота в напрямку створення  Індустріального парку «Суми</w:t>
      </w:r>
      <w:r w:rsidRPr="00070EE0">
        <w:rPr>
          <w:rFonts w:ascii="Myriad Pro" w:hAnsi="Myriad Pro" w:cs="Arial"/>
          <w:lang w:val="uk-UA"/>
        </w:rPr>
        <w:t>».</w:t>
      </w:r>
    </w:p>
    <w:p w:rsidR="00825017" w:rsidRPr="00070EE0" w:rsidRDefault="0068016E" w:rsidP="0068016E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6F371E">
        <w:rPr>
          <w:rFonts w:ascii="Myriad Pro" w:hAnsi="Myriad Pro"/>
          <w:lang w:val="uk-UA"/>
        </w:rPr>
        <w:t xml:space="preserve">На території громади  діє  Цільова Програма підтримки малого і середнього підприємництва Сумської міської територіальної громади на 2022-2024 роки. </w:t>
      </w:r>
      <w:r w:rsidR="00A03241" w:rsidRPr="006F371E">
        <w:rPr>
          <w:rFonts w:ascii="Myriad Pro" w:hAnsi="Myriad Pro" w:cs="Arial"/>
          <w:lang w:val="uk-UA"/>
        </w:rPr>
        <w:t>Більшість ставок місцевих податків є нижчими за максимальний рівень, передбачений законодавством, що створює умови для  розвитку підприємництва.</w:t>
      </w:r>
      <w:r w:rsidR="00825017" w:rsidRPr="006F371E">
        <w:rPr>
          <w:rFonts w:ascii="Myriad Pro" w:hAnsi="Myriad Pro" w:cs="Arial"/>
          <w:lang w:val="uk-UA"/>
        </w:rPr>
        <w:t xml:space="preserve"> З червня 2019 року в м. Суми функціонує «Сумський Бізнес </w:t>
      </w:r>
      <w:proofErr w:type="spellStart"/>
      <w:r w:rsidR="00825017" w:rsidRPr="006F371E">
        <w:rPr>
          <w:rFonts w:ascii="Myriad Pro" w:hAnsi="Myriad Pro" w:cs="Arial"/>
          <w:lang w:val="uk-UA"/>
        </w:rPr>
        <w:t>Хаб</w:t>
      </w:r>
      <w:proofErr w:type="spellEnd"/>
      <w:r w:rsidR="00825017" w:rsidRPr="006F371E">
        <w:rPr>
          <w:rFonts w:ascii="Myriad Pro" w:hAnsi="Myriad Pro" w:cs="Arial"/>
          <w:lang w:val="uk-UA"/>
        </w:rPr>
        <w:t xml:space="preserve">» </w:t>
      </w:r>
      <w:proofErr w:type="spellStart"/>
      <w:r w:rsidR="00825017" w:rsidRPr="006F371E">
        <w:rPr>
          <w:rFonts w:ascii="Myriad Pro" w:hAnsi="Myriad Pro" w:cs="Arial"/>
          <w:lang w:val="uk-UA"/>
        </w:rPr>
        <w:t>-відкритий</w:t>
      </w:r>
      <w:proofErr w:type="spellEnd"/>
      <w:r w:rsidR="00825017" w:rsidRPr="006F371E">
        <w:rPr>
          <w:rFonts w:ascii="Myriad Pro" w:hAnsi="Myriad Pro" w:cs="Arial"/>
          <w:lang w:val="uk-UA"/>
        </w:rPr>
        <w:t xml:space="preserve"> простір для кооперації, навчання та</w:t>
      </w:r>
      <w:r w:rsidR="00825017" w:rsidRPr="006F371E">
        <w:rPr>
          <w:rFonts w:ascii="Myriad Pro" w:eastAsia="Times New Roman" w:hAnsi="Myriad Pro" w:cs="Arial"/>
          <w:color w:val="1F1F1F"/>
          <w:lang w:val="uk-UA" w:eastAsia="ru-RU"/>
        </w:rPr>
        <w:t xml:space="preserve"> обміну ідеями</w:t>
      </w:r>
      <w:r w:rsidR="00825017" w:rsidRPr="00070EE0">
        <w:rPr>
          <w:rFonts w:ascii="Myriad Pro" w:eastAsia="Times New Roman" w:hAnsi="Myriad Pro" w:cs="Arial"/>
          <w:color w:val="1F1F1F"/>
          <w:lang w:val="uk-UA" w:eastAsia="ru-RU"/>
        </w:rPr>
        <w:t xml:space="preserve"> представників бізнес-спільноти Сумщини, в рамках роботи якого проводяться різноманітні заходи з питань розвитку малого та середнього бізнесу</w:t>
      </w:r>
      <w:r w:rsidR="00825017" w:rsidRPr="00070EE0">
        <w:rPr>
          <w:rFonts w:ascii="Myriad Pro" w:hAnsi="Myriad Pro" w:cs="Arial"/>
          <w:lang w:val="uk-UA"/>
        </w:rPr>
        <w:t>. При Сумській міській раді працює координаційна рада з питань розвитку підприємництва.</w:t>
      </w:r>
    </w:p>
    <w:p w:rsidR="00070EE0" w:rsidRPr="00070EE0" w:rsidRDefault="0068016E" w:rsidP="00070EE0">
      <w:pPr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Міська влада на постійній основі здійснює заходи з метою сприяння залученню інвестицій з альтернативних джерел</w:t>
      </w:r>
      <w:r w:rsidR="00070EE0" w:rsidRPr="00070EE0">
        <w:rPr>
          <w:rFonts w:ascii="Myriad Pro" w:hAnsi="Myriad Pro" w:cs="Arial"/>
          <w:lang w:val="uk-UA"/>
        </w:rPr>
        <w:t xml:space="preserve">. Рішенням ВК від 22.07.2022 р. було затверджено «Програму розвитку міжнародної співпраці та сприяння формуванню позитивного інвестиційного іміджу Сумської міської територіальної громади на 2022-2024 роки». </w:t>
      </w:r>
      <w:r w:rsidR="00070EE0" w:rsidRPr="00070EE0">
        <w:rPr>
          <w:rFonts w:ascii="Myriad Pro" w:hAnsi="Myriad Pro"/>
          <w:bCs/>
          <w:lang w:val="uk-UA"/>
        </w:rPr>
        <w:t>У Сумської міської ради наявний досвід успішної реалізації інвестиційних проєктів за участі міжнародних фінансових та донорських організацій.</w:t>
      </w:r>
    </w:p>
    <w:p w:rsidR="00DF6F7E" w:rsidRPr="00070EE0" w:rsidRDefault="00DF6F7E" w:rsidP="007C6E06">
      <w:pPr>
        <w:spacing w:after="60" w:line="240" w:lineRule="auto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 xml:space="preserve">Для проведення аналітичного дослідження були використані матеріали, отримані від </w:t>
      </w:r>
      <w:r w:rsidR="002172AC" w:rsidRPr="00070EE0">
        <w:rPr>
          <w:rFonts w:ascii="Myriad Pro" w:hAnsi="Myriad Pro" w:cs="Arial"/>
          <w:lang w:val="uk-UA"/>
        </w:rPr>
        <w:t xml:space="preserve">Сумської міської ради, </w:t>
      </w:r>
      <w:r w:rsidRPr="00070EE0">
        <w:rPr>
          <w:rFonts w:ascii="Myriad Pro" w:hAnsi="Myriad Pro" w:cs="Arial"/>
          <w:lang w:val="uk-UA"/>
        </w:rPr>
        <w:t xml:space="preserve"> у тому числі: казначейська звітність, програмні матеріали, інша необхідна внутрішня інформація, а також інформація з відкритих джерел, яку Рейтингове агентство вважає достовірною.</w:t>
      </w:r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Style w:val="a3"/>
          <w:rFonts w:ascii="Myriad Pro" w:hAnsi="Myriad Pro" w:cs="Arial"/>
          <w:lang w:val="uk-UA"/>
        </w:rPr>
      </w:pPr>
      <w:r w:rsidRPr="00070EE0">
        <w:rPr>
          <w:rStyle w:val="a3"/>
          <w:rFonts w:ascii="Myriad Pro" w:hAnsi="Myriad Pro" w:cs="Arial"/>
          <w:lang w:val="uk-UA"/>
        </w:rPr>
        <w:t>Муніципальний департамент</w:t>
      </w:r>
      <w:bookmarkStart w:id="1" w:name="_GoBack"/>
      <w:bookmarkEnd w:id="1"/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За додатковою інформацією звертайтесь:</w:t>
      </w:r>
    </w:p>
    <w:p w:rsidR="00DF6F7E" w:rsidRPr="00070EE0" w:rsidRDefault="006D75BB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hyperlink r:id="rId6" w:history="1">
        <w:r w:rsidR="00DF6F7E" w:rsidRPr="00070EE0">
          <w:rPr>
            <w:rStyle w:val="a4"/>
            <w:rFonts w:ascii="Myriad Pro" w:hAnsi="Myriad Pro" w:cs="Arial"/>
            <w:lang w:val="uk-UA"/>
          </w:rPr>
          <w:t>Прес-служба IBI-Rating</w:t>
        </w:r>
      </w:hyperlink>
    </w:p>
    <w:p w:rsidR="00DF6F7E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(044) 362-90-84</w:t>
      </w:r>
    </w:p>
    <w:p w:rsidR="005F188B" w:rsidRPr="00070EE0" w:rsidRDefault="00DF6F7E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  <w:r w:rsidRPr="00070EE0">
        <w:rPr>
          <w:rFonts w:ascii="Myriad Pro" w:hAnsi="Myriad Pro" w:cs="Arial"/>
          <w:lang w:val="uk-UA"/>
        </w:rPr>
        <w:t>press(at)ibi.com.ua</w:t>
      </w:r>
    </w:p>
    <w:p w:rsidR="009B0BDB" w:rsidRPr="00070EE0" w:rsidRDefault="009B0BDB" w:rsidP="00DF6F7E">
      <w:pPr>
        <w:spacing w:after="0" w:line="240" w:lineRule="auto"/>
        <w:ind w:firstLine="284"/>
        <w:jc w:val="both"/>
        <w:rPr>
          <w:rFonts w:ascii="Myriad Pro" w:hAnsi="Myriad Pro" w:cs="Arial"/>
          <w:lang w:val="uk-UA"/>
        </w:rPr>
      </w:pPr>
    </w:p>
    <w:sectPr w:rsidR="009B0BDB" w:rsidRPr="00070EE0" w:rsidSect="00DF6F7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165"/>
    <w:multiLevelType w:val="hybridMultilevel"/>
    <w:tmpl w:val="04EAB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6589"/>
    <w:multiLevelType w:val="multilevel"/>
    <w:tmpl w:val="1F58DEA8"/>
    <w:lvl w:ilvl="0">
      <w:start w:val="1"/>
      <w:numFmt w:val="bullet"/>
      <w:lvlText w:val=""/>
      <w:lvlJc w:val="left"/>
      <w:pPr>
        <w:tabs>
          <w:tab w:val="num" w:pos="1701"/>
        </w:tabs>
        <w:ind w:left="567" w:hanging="567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D7"/>
    <w:rsid w:val="00070EE0"/>
    <w:rsid w:val="000A2706"/>
    <w:rsid w:val="000F10D7"/>
    <w:rsid w:val="00110B03"/>
    <w:rsid w:val="0016328D"/>
    <w:rsid w:val="00193FC5"/>
    <w:rsid w:val="001D56C4"/>
    <w:rsid w:val="001D697D"/>
    <w:rsid w:val="002172AC"/>
    <w:rsid w:val="0022302B"/>
    <w:rsid w:val="0026180F"/>
    <w:rsid w:val="002647BE"/>
    <w:rsid w:val="0028480D"/>
    <w:rsid w:val="003754C1"/>
    <w:rsid w:val="003C3137"/>
    <w:rsid w:val="003D4742"/>
    <w:rsid w:val="00432771"/>
    <w:rsid w:val="00435FD2"/>
    <w:rsid w:val="004B09D6"/>
    <w:rsid w:val="004B2368"/>
    <w:rsid w:val="005026B0"/>
    <w:rsid w:val="0053519A"/>
    <w:rsid w:val="00582B3C"/>
    <w:rsid w:val="005C2FAD"/>
    <w:rsid w:val="005F188B"/>
    <w:rsid w:val="0068016E"/>
    <w:rsid w:val="006D75BB"/>
    <w:rsid w:val="006F371E"/>
    <w:rsid w:val="00706CFE"/>
    <w:rsid w:val="00753656"/>
    <w:rsid w:val="00776904"/>
    <w:rsid w:val="007B727C"/>
    <w:rsid w:val="007C1C54"/>
    <w:rsid w:val="007C6E06"/>
    <w:rsid w:val="007D6B84"/>
    <w:rsid w:val="00825017"/>
    <w:rsid w:val="008379B6"/>
    <w:rsid w:val="0084752A"/>
    <w:rsid w:val="0085245B"/>
    <w:rsid w:val="00855D81"/>
    <w:rsid w:val="00872446"/>
    <w:rsid w:val="00921A68"/>
    <w:rsid w:val="009505AD"/>
    <w:rsid w:val="0095199A"/>
    <w:rsid w:val="00981C7C"/>
    <w:rsid w:val="00982EFE"/>
    <w:rsid w:val="009B0BDB"/>
    <w:rsid w:val="009B3F9C"/>
    <w:rsid w:val="00A03241"/>
    <w:rsid w:val="00A10A5E"/>
    <w:rsid w:val="00A4214B"/>
    <w:rsid w:val="00AC3F2C"/>
    <w:rsid w:val="00B94590"/>
    <w:rsid w:val="00BA5E10"/>
    <w:rsid w:val="00C204B5"/>
    <w:rsid w:val="00C56ECF"/>
    <w:rsid w:val="00C57664"/>
    <w:rsid w:val="00C65F96"/>
    <w:rsid w:val="00CA33BA"/>
    <w:rsid w:val="00CD7422"/>
    <w:rsid w:val="00D14CE6"/>
    <w:rsid w:val="00D92064"/>
    <w:rsid w:val="00DF6F7E"/>
    <w:rsid w:val="00E86F51"/>
    <w:rsid w:val="00EC6057"/>
    <w:rsid w:val="00F125AF"/>
    <w:rsid w:val="00F56785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F7E"/>
    <w:rPr>
      <w:b/>
      <w:bCs/>
    </w:rPr>
  </w:style>
  <w:style w:type="character" w:styleId="a4">
    <w:name w:val="Hyperlink"/>
    <w:basedOn w:val="a0"/>
    <w:uiPriority w:val="99"/>
    <w:semiHidden/>
    <w:unhideWhenUsed/>
    <w:rsid w:val="00DF6F7E"/>
    <w:rPr>
      <w:color w:val="0000FF"/>
      <w:u w:val="single"/>
    </w:rPr>
  </w:style>
  <w:style w:type="paragraph" w:customStyle="1" w:styleId="a5">
    <w:name w:val="Факторы"/>
    <w:basedOn w:val="a"/>
    <w:autoRedefine/>
    <w:rsid w:val="007B727C"/>
    <w:pPr>
      <w:spacing w:after="0" w:line="240" w:lineRule="auto"/>
      <w:ind w:left="567" w:hanging="567"/>
      <w:jc w:val="both"/>
    </w:pPr>
    <w:rPr>
      <w:rFonts w:ascii="Calibri" w:eastAsia="Times New Roman" w:hAnsi="Calibri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742"/>
    <w:rPr>
      <w:rFonts w:ascii="Tahoma" w:hAnsi="Tahoma" w:cs="Tahoma"/>
      <w:sz w:val="16"/>
      <w:szCs w:val="16"/>
    </w:rPr>
  </w:style>
  <w:style w:type="character" w:customStyle="1" w:styleId="value-title">
    <w:name w:val="value-title"/>
    <w:basedOn w:val="a0"/>
    <w:rsid w:val="007C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.com.ua/UK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user</cp:lastModifiedBy>
  <cp:revision>7</cp:revision>
  <dcterms:created xsi:type="dcterms:W3CDTF">2021-11-24T14:33:00Z</dcterms:created>
  <dcterms:modified xsi:type="dcterms:W3CDTF">2023-02-01T13:40:00Z</dcterms:modified>
</cp:coreProperties>
</file>