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24" w:space="0" w:color="A6A6A6"/>
        </w:tblBorders>
        <w:tblLook w:val="04A0" w:firstRow="1" w:lastRow="0" w:firstColumn="1" w:lastColumn="0" w:noHBand="0" w:noVBand="1"/>
      </w:tblPr>
      <w:tblGrid>
        <w:gridCol w:w="550"/>
        <w:gridCol w:w="9530"/>
        <w:gridCol w:w="551"/>
      </w:tblGrid>
      <w:tr w:rsidR="00B53CCF" w:rsidRPr="00A76EEB" w14:paraId="5DF21E7F" w14:textId="77777777" w:rsidTr="00AF01C1">
        <w:trPr>
          <w:trHeight w:val="862"/>
        </w:trPr>
        <w:tc>
          <w:tcPr>
            <w:tcW w:w="259" w:type="pct"/>
            <w:shd w:val="clear" w:color="auto" w:fill="auto"/>
          </w:tcPr>
          <w:p w14:paraId="7EC763DB" w14:textId="77777777" w:rsidR="00B53CCF" w:rsidRPr="00A76EEB" w:rsidRDefault="00B53CCF" w:rsidP="00AF01C1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3366"/>
                <w:spacing w:val="34"/>
                <w:sz w:val="20"/>
                <w:szCs w:val="20"/>
                <w:lang w:val="uk-UA"/>
              </w:rPr>
            </w:pPr>
          </w:p>
        </w:tc>
        <w:tc>
          <w:tcPr>
            <w:tcW w:w="4482" w:type="pct"/>
            <w:shd w:val="clear" w:color="auto" w:fill="auto"/>
          </w:tcPr>
          <w:p w14:paraId="424EB9ED" w14:textId="77777777" w:rsidR="00B53CCF" w:rsidRPr="00A76EEB" w:rsidRDefault="00B53CCF" w:rsidP="00AF01C1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color w:val="969696"/>
                <w:sz w:val="20"/>
                <w:szCs w:val="20"/>
                <w:lang w:val="uk-UA"/>
              </w:rPr>
            </w:pPr>
            <w:r w:rsidRPr="00A76EEB">
              <w:rPr>
                <w:rFonts w:ascii="Arial" w:hAnsi="Arial" w:cs="Arial"/>
                <w:b/>
                <w:noProof/>
                <w:color w:val="969696"/>
                <w:sz w:val="20"/>
                <w:szCs w:val="20"/>
                <w:lang w:val="en-US"/>
              </w:rPr>
              <w:drawing>
                <wp:inline distT="0" distB="0" distL="0" distR="0" wp14:anchorId="25556DB8" wp14:editId="595EF69F">
                  <wp:extent cx="2311400" cy="358140"/>
                  <wp:effectExtent l="0" t="0" r="0" b="3810"/>
                  <wp:docPr id="1" name="Рисунок 1" descr="logoIBIRating_newlight1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BIRating_newlight1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pct"/>
            <w:shd w:val="clear" w:color="auto" w:fill="auto"/>
          </w:tcPr>
          <w:p w14:paraId="613F8C31" w14:textId="77777777" w:rsidR="00B53CCF" w:rsidRPr="00A76EEB" w:rsidRDefault="00B53CCF" w:rsidP="00AF01C1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color w:val="969696"/>
                <w:sz w:val="20"/>
                <w:szCs w:val="20"/>
                <w:lang w:val="uk-UA"/>
              </w:rPr>
            </w:pPr>
          </w:p>
        </w:tc>
      </w:tr>
      <w:tr w:rsidR="00B53CCF" w:rsidRPr="00A76EEB" w14:paraId="23CFD3C9" w14:textId="77777777" w:rsidTr="00AF01C1">
        <w:tc>
          <w:tcPr>
            <w:tcW w:w="259" w:type="pct"/>
            <w:shd w:val="clear" w:color="auto" w:fill="auto"/>
          </w:tcPr>
          <w:p w14:paraId="2C88E127" w14:textId="77777777" w:rsidR="00B53CCF" w:rsidRPr="00A76EEB" w:rsidRDefault="00B53CCF" w:rsidP="00AF01C1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color w:val="969696"/>
                <w:sz w:val="20"/>
                <w:szCs w:val="20"/>
                <w:lang w:val="uk-UA"/>
              </w:rPr>
            </w:pPr>
          </w:p>
        </w:tc>
        <w:tc>
          <w:tcPr>
            <w:tcW w:w="4482" w:type="pct"/>
            <w:shd w:val="clear" w:color="auto" w:fill="auto"/>
          </w:tcPr>
          <w:p w14:paraId="1A32680B" w14:textId="77777777" w:rsidR="00B53CCF" w:rsidRPr="00A76EEB" w:rsidRDefault="00B53CCF" w:rsidP="00AF01C1">
            <w:pPr>
              <w:spacing w:after="0" w:line="240" w:lineRule="auto"/>
              <w:ind w:firstLine="567"/>
              <w:jc w:val="center"/>
              <w:outlineLvl w:val="1"/>
              <w:rPr>
                <w:rFonts w:ascii="Arial" w:hAnsi="Arial" w:cs="Arial"/>
                <w:b/>
                <w:bCs/>
                <w:smallCaps/>
                <w:color w:val="003366"/>
                <w:sz w:val="20"/>
                <w:szCs w:val="20"/>
                <w:lang w:val="uk-UA" w:eastAsia="uk-UA"/>
              </w:rPr>
            </w:pPr>
            <w:r w:rsidRPr="00A76EEB">
              <w:rPr>
                <w:rFonts w:ascii="Arial" w:hAnsi="Arial" w:cs="Arial"/>
                <w:b/>
                <w:bCs/>
                <w:smallCaps/>
                <w:color w:val="003366"/>
                <w:sz w:val="20"/>
                <w:szCs w:val="20"/>
                <w:lang w:val="uk-UA" w:eastAsia="uk-UA"/>
              </w:rPr>
              <w:t>ПРЕСРЕЛІЗ</w:t>
            </w:r>
          </w:p>
          <w:p w14:paraId="1ACE1D6E" w14:textId="77777777" w:rsidR="00B53CCF" w:rsidRPr="00A76EEB" w:rsidRDefault="00B53CCF" w:rsidP="00AF01C1">
            <w:pPr>
              <w:spacing w:after="0" w:line="240" w:lineRule="auto"/>
              <w:ind w:firstLine="567"/>
              <w:jc w:val="center"/>
              <w:outlineLvl w:val="1"/>
              <w:rPr>
                <w:rFonts w:ascii="Arial" w:hAnsi="Arial" w:cs="Arial"/>
                <w:b/>
                <w:bCs/>
                <w:smallCaps/>
                <w:color w:val="003366"/>
                <w:sz w:val="20"/>
                <w:szCs w:val="20"/>
                <w:lang w:val="uk-UA" w:eastAsia="uk-UA"/>
              </w:rPr>
            </w:pPr>
          </w:p>
        </w:tc>
        <w:tc>
          <w:tcPr>
            <w:tcW w:w="259" w:type="pct"/>
            <w:shd w:val="clear" w:color="auto" w:fill="auto"/>
          </w:tcPr>
          <w:p w14:paraId="704BB79C" w14:textId="77777777" w:rsidR="00B53CCF" w:rsidRPr="00A76EEB" w:rsidRDefault="00B53CCF" w:rsidP="00AF01C1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3366"/>
                <w:sz w:val="20"/>
                <w:szCs w:val="20"/>
                <w:lang w:val="uk-UA"/>
              </w:rPr>
            </w:pPr>
          </w:p>
        </w:tc>
      </w:tr>
    </w:tbl>
    <w:p w14:paraId="76FC8016" w14:textId="77777777" w:rsidR="00B53CCF" w:rsidRPr="00D43626" w:rsidRDefault="00B53CCF" w:rsidP="00B53CCF">
      <w:pPr>
        <w:spacing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1F4E79" w:themeColor="accent5" w:themeShade="80"/>
          <w:kern w:val="36"/>
          <w:sz w:val="20"/>
          <w:szCs w:val="20"/>
          <w:lang w:val="uk-UA" w:eastAsia="ru-RU"/>
        </w:rPr>
      </w:pPr>
      <w:r w:rsidRPr="00D43626">
        <w:rPr>
          <w:rFonts w:ascii="Arial" w:eastAsia="Times New Roman" w:hAnsi="Arial" w:cs="Arial"/>
          <w:b/>
          <w:bCs/>
          <w:color w:val="1F4E79" w:themeColor="accent5" w:themeShade="80"/>
          <w:kern w:val="36"/>
          <w:sz w:val="20"/>
          <w:szCs w:val="20"/>
          <w:lang w:val="uk-UA" w:eastAsia="ru-RU"/>
        </w:rPr>
        <w:t>IBI-</w:t>
      </w:r>
      <w:proofErr w:type="spellStart"/>
      <w:r w:rsidRPr="00D43626">
        <w:rPr>
          <w:rFonts w:ascii="Arial" w:eastAsia="Times New Roman" w:hAnsi="Arial" w:cs="Arial"/>
          <w:b/>
          <w:bCs/>
          <w:color w:val="1F4E79" w:themeColor="accent5" w:themeShade="80"/>
          <w:kern w:val="36"/>
          <w:sz w:val="20"/>
          <w:szCs w:val="20"/>
          <w:lang w:val="uk-UA" w:eastAsia="ru-RU"/>
        </w:rPr>
        <w:t>Rating</w:t>
      </w:r>
      <w:proofErr w:type="spellEnd"/>
      <w:r w:rsidRPr="00D43626">
        <w:rPr>
          <w:rFonts w:ascii="Arial" w:eastAsia="Times New Roman" w:hAnsi="Arial" w:cs="Arial"/>
          <w:b/>
          <w:bCs/>
          <w:color w:val="1F4E79" w:themeColor="accent5" w:themeShade="80"/>
          <w:kern w:val="36"/>
          <w:sz w:val="20"/>
          <w:szCs w:val="20"/>
          <w:lang w:val="uk-UA" w:eastAsia="ru-RU"/>
        </w:rPr>
        <w:t xml:space="preserve"> підтвердило кредитний рейтинг та рейтинг інвестиційної привабливості Сумської міської територіальної громади</w:t>
      </w:r>
    </w:p>
    <w:p w14:paraId="4FCAC36D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>Національне рейтингове агентство ІВІ-</w:t>
      </w:r>
      <w:proofErr w:type="spellStart"/>
      <w:r w:rsidRPr="00A76EEB">
        <w:rPr>
          <w:rFonts w:ascii="Arial" w:hAnsi="Arial" w:cs="Arial"/>
          <w:sz w:val="20"/>
          <w:szCs w:val="20"/>
          <w:lang w:val="uk-UA"/>
        </w:rPr>
        <w:t>Rating</w:t>
      </w:r>
      <w:proofErr w:type="spellEnd"/>
      <w:r w:rsidRPr="00A76EEB">
        <w:rPr>
          <w:rFonts w:ascii="Arial" w:hAnsi="Arial" w:cs="Arial"/>
          <w:sz w:val="20"/>
          <w:szCs w:val="20"/>
          <w:lang w:val="uk-UA"/>
        </w:rPr>
        <w:t xml:space="preserve"> повідомляє про підтвердження кредитного рейтингу Сумської міської територіальної громади (далі ТГ) на рівні </w:t>
      </w:r>
      <w:proofErr w:type="spellStart"/>
      <w:r w:rsidRPr="00A76EEB">
        <w:rPr>
          <w:rStyle w:val="a3"/>
          <w:rFonts w:ascii="Arial" w:hAnsi="Arial" w:cs="Arial"/>
          <w:sz w:val="20"/>
          <w:szCs w:val="20"/>
          <w:lang w:val="uk-UA"/>
        </w:rPr>
        <w:t>uaА</w:t>
      </w:r>
      <w:proofErr w:type="spellEnd"/>
      <w:r w:rsidRPr="00A76EEB">
        <w:rPr>
          <w:rStyle w:val="a3"/>
          <w:rFonts w:ascii="Arial" w:hAnsi="Arial" w:cs="Arial"/>
          <w:sz w:val="20"/>
          <w:szCs w:val="20"/>
          <w:lang w:val="uk-UA"/>
        </w:rPr>
        <w:t xml:space="preserve">– </w:t>
      </w:r>
      <w:r w:rsidRPr="00A76EEB">
        <w:rPr>
          <w:rFonts w:ascii="Arial" w:hAnsi="Arial" w:cs="Arial"/>
          <w:sz w:val="20"/>
          <w:szCs w:val="20"/>
          <w:lang w:val="uk-UA"/>
        </w:rPr>
        <w:t xml:space="preserve">з прогнозом </w:t>
      </w:r>
      <w:r w:rsidRPr="00A76EEB">
        <w:rPr>
          <w:rStyle w:val="a3"/>
          <w:rFonts w:ascii="Arial" w:hAnsi="Arial" w:cs="Arial"/>
          <w:sz w:val="20"/>
          <w:szCs w:val="20"/>
          <w:lang w:val="uk-UA"/>
        </w:rPr>
        <w:t>«у розвитку»</w:t>
      </w:r>
      <w:r w:rsidRPr="00A76EEB">
        <w:rPr>
          <w:rFonts w:ascii="Arial" w:hAnsi="Arial" w:cs="Arial"/>
          <w:sz w:val="20"/>
          <w:szCs w:val="20"/>
          <w:lang w:val="uk-UA"/>
        </w:rPr>
        <w:t xml:space="preserve"> та рейтингу інвестиційної привабливості на рівні </w:t>
      </w:r>
      <w:proofErr w:type="spellStart"/>
      <w:r w:rsidRPr="00A76EEB">
        <w:rPr>
          <w:rStyle w:val="a3"/>
          <w:rFonts w:ascii="Arial" w:hAnsi="Arial" w:cs="Arial"/>
          <w:sz w:val="20"/>
          <w:szCs w:val="20"/>
          <w:lang w:val="uk-UA"/>
        </w:rPr>
        <w:t>invА</w:t>
      </w:r>
      <w:proofErr w:type="spellEnd"/>
      <w:r w:rsidRPr="00A76EEB">
        <w:rPr>
          <w:rStyle w:val="a3"/>
          <w:rFonts w:ascii="Arial" w:hAnsi="Arial" w:cs="Arial"/>
          <w:sz w:val="20"/>
          <w:szCs w:val="20"/>
          <w:lang w:val="uk-UA"/>
        </w:rPr>
        <w:t>–</w:t>
      </w:r>
      <w:r w:rsidRPr="00A76EEB">
        <w:rPr>
          <w:rFonts w:ascii="Arial" w:hAnsi="Arial" w:cs="Arial"/>
          <w:sz w:val="20"/>
          <w:szCs w:val="20"/>
          <w:lang w:val="uk-UA"/>
        </w:rPr>
        <w:t>.</w:t>
      </w:r>
    </w:p>
    <w:p w14:paraId="30B81B1E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 xml:space="preserve">Такі рівні рейтингів відображають високу спроможність громади розраховуватися за своїми зобов'язаннями та високу інвестиційну привабливість. </w:t>
      </w:r>
      <w:r w:rsidRPr="00A76EEB">
        <w:rPr>
          <w:rStyle w:val="a3"/>
          <w:rFonts w:ascii="Arial" w:hAnsi="Arial" w:cs="Arial"/>
          <w:b w:val="0"/>
          <w:sz w:val="20"/>
          <w:szCs w:val="20"/>
          <w:lang w:val="uk-UA"/>
        </w:rPr>
        <w:t>Прогноз «у розвитку</w:t>
      </w:r>
      <w:r w:rsidRPr="00A76EEB">
        <w:rPr>
          <w:rStyle w:val="a3"/>
          <w:rFonts w:ascii="Arial" w:hAnsi="Arial" w:cs="Arial"/>
          <w:sz w:val="20"/>
          <w:szCs w:val="20"/>
          <w:lang w:val="uk-UA"/>
        </w:rPr>
        <w:t>»</w:t>
      </w:r>
      <w:r w:rsidRPr="00A76EEB">
        <w:rPr>
          <w:rFonts w:ascii="Arial" w:hAnsi="Arial" w:cs="Arial"/>
          <w:sz w:val="20"/>
          <w:szCs w:val="20"/>
          <w:lang w:val="uk-UA"/>
        </w:rPr>
        <w:t xml:space="preserve"> вказує на вірогідність зміни кредитного рейтингу протягом року. На даний час такий прогноз застосовується до усіх суб’єктів рейтингування муніципального сектору. Він обумовлений посиленням невизначеності щодо дії органів влади і господарюючих суб’єктів на тлі загострення епідеміологічної ситуації в Україні та світі. Позначка </w:t>
      </w:r>
      <w:r w:rsidRPr="00A76EEB">
        <w:rPr>
          <w:rStyle w:val="a3"/>
          <w:rFonts w:ascii="Arial" w:hAnsi="Arial" w:cs="Arial"/>
          <w:sz w:val="20"/>
          <w:szCs w:val="20"/>
          <w:lang w:val="uk-UA"/>
        </w:rPr>
        <w:t>«-»</w:t>
      </w:r>
      <w:r w:rsidRPr="00A76EEB">
        <w:rPr>
          <w:rFonts w:ascii="Arial" w:hAnsi="Arial" w:cs="Arial"/>
          <w:sz w:val="20"/>
          <w:szCs w:val="20"/>
          <w:lang w:val="uk-UA"/>
        </w:rPr>
        <w:t xml:space="preserve"> вказує на проміжну категорію рейтингу відносно основної категорії.</w:t>
      </w:r>
    </w:p>
    <w:p w14:paraId="21F524AB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Style w:val="a3"/>
          <w:rFonts w:ascii="Arial" w:hAnsi="Arial" w:cs="Arial"/>
          <w:sz w:val="20"/>
          <w:szCs w:val="20"/>
          <w:lang w:val="uk-UA"/>
        </w:rPr>
      </w:pPr>
      <w:r w:rsidRPr="00A76EEB">
        <w:rPr>
          <w:rStyle w:val="a3"/>
          <w:rFonts w:ascii="Arial" w:hAnsi="Arial" w:cs="Arial"/>
          <w:sz w:val="20"/>
          <w:szCs w:val="20"/>
          <w:lang w:val="uk-UA"/>
        </w:rPr>
        <w:t>При оновленні рейтингів було враховано:</w:t>
      </w:r>
    </w:p>
    <w:p w14:paraId="548C74A2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u w:val="single"/>
          <w:lang w:val="uk-UA"/>
        </w:rPr>
      </w:pPr>
      <w:r w:rsidRPr="00A76EEB">
        <w:rPr>
          <w:rFonts w:ascii="Arial" w:hAnsi="Arial" w:cs="Arial"/>
          <w:sz w:val="20"/>
          <w:szCs w:val="20"/>
          <w:u w:val="single"/>
          <w:lang w:val="uk-UA"/>
        </w:rPr>
        <w:t>1. Структуру економічного комплексу та динаміку ключових показників</w:t>
      </w:r>
    </w:p>
    <w:p w14:paraId="2B6353C1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>Сумська міська ТГ має потужний промисловий комплекс. Обсяг реалізації промислової продукції у розрахунку на 1 особу суттєво перевищує аналогічний показник по Україні в цілому (за результатами 2020</w:t>
      </w:r>
      <w:r w:rsidRPr="00A76EEB">
        <w:rPr>
          <w:rFonts w:ascii="Arial" w:hAnsi="Arial" w:cs="Arial"/>
          <w:sz w:val="20"/>
          <w:szCs w:val="20"/>
          <w:lang w:val="en-US"/>
        </w:rPr>
        <w:t> </w:t>
      </w:r>
      <w:r w:rsidRPr="00A76EEB">
        <w:rPr>
          <w:rFonts w:ascii="Arial" w:hAnsi="Arial" w:cs="Arial"/>
          <w:sz w:val="20"/>
          <w:szCs w:val="20"/>
          <w:lang w:val="uk-UA"/>
        </w:rPr>
        <w:t xml:space="preserve">року таке перевищення склало 36%). </w:t>
      </w:r>
    </w:p>
    <w:p w14:paraId="1C90D1FB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>Сумська міська ТГ має розвинену мережу об’єктів роздрібної торгівлі. Індекс фізичного обсягу роздрібного товарообороту у 2020</w:t>
      </w:r>
      <w:r w:rsidRPr="00A76EEB">
        <w:rPr>
          <w:rFonts w:ascii="Arial" w:hAnsi="Arial" w:cs="Arial"/>
          <w:sz w:val="20"/>
          <w:szCs w:val="20"/>
          <w:lang w:val="en-US"/>
        </w:rPr>
        <w:t> </w:t>
      </w:r>
      <w:r w:rsidRPr="00A76EEB">
        <w:rPr>
          <w:rFonts w:ascii="Arial" w:hAnsi="Arial" w:cs="Arial"/>
          <w:sz w:val="20"/>
          <w:szCs w:val="20"/>
          <w:lang w:val="uk-UA"/>
        </w:rPr>
        <w:t>р. порівняно з 2019</w:t>
      </w:r>
      <w:r w:rsidRPr="00A76EEB">
        <w:rPr>
          <w:rFonts w:ascii="Arial" w:hAnsi="Arial" w:cs="Arial"/>
          <w:sz w:val="20"/>
          <w:szCs w:val="20"/>
          <w:lang w:val="en-US"/>
        </w:rPr>
        <w:t> </w:t>
      </w:r>
      <w:r w:rsidRPr="00A76EEB">
        <w:rPr>
          <w:rFonts w:ascii="Arial" w:hAnsi="Arial" w:cs="Arial"/>
          <w:sz w:val="20"/>
          <w:szCs w:val="20"/>
          <w:lang w:val="uk-UA"/>
        </w:rPr>
        <w:t>р. збільшився на 6,8%. У розрахунку на одного мешканця товарооборот складає 31,5</w:t>
      </w:r>
      <w:r w:rsidRPr="00A76EEB">
        <w:rPr>
          <w:rFonts w:ascii="Arial" w:hAnsi="Arial" w:cs="Arial"/>
          <w:sz w:val="20"/>
          <w:szCs w:val="20"/>
          <w:lang w:val="en-US"/>
        </w:rPr>
        <w:t> </w:t>
      </w:r>
      <w:r w:rsidRPr="00A76EEB">
        <w:rPr>
          <w:rFonts w:ascii="Arial" w:hAnsi="Arial" w:cs="Arial"/>
          <w:sz w:val="20"/>
          <w:szCs w:val="20"/>
          <w:lang w:val="uk-UA"/>
        </w:rPr>
        <w:t>тис. грн, що перевищує показник по Україні в цілому.</w:t>
      </w:r>
    </w:p>
    <w:p w14:paraId="7AD44CDE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>Зовнішньоторговельний оборот товарів на 1 особу за результатами 2020 року склав 2</w:t>
      </w:r>
      <w:r w:rsidRPr="00A76EEB">
        <w:rPr>
          <w:rFonts w:ascii="Arial" w:hAnsi="Arial" w:cs="Arial"/>
          <w:sz w:val="20"/>
          <w:szCs w:val="20"/>
          <w:lang w:val="en-US"/>
        </w:rPr>
        <w:t> </w:t>
      </w:r>
      <w:r w:rsidRPr="00A76EEB">
        <w:rPr>
          <w:rFonts w:ascii="Arial" w:hAnsi="Arial" w:cs="Arial"/>
          <w:sz w:val="20"/>
          <w:szCs w:val="20"/>
          <w:lang w:val="uk-UA"/>
        </w:rPr>
        <w:t xml:space="preserve">507,1 </w:t>
      </w:r>
      <w:proofErr w:type="spellStart"/>
      <w:r w:rsidRPr="00A76EEB">
        <w:rPr>
          <w:rFonts w:ascii="Arial" w:hAnsi="Arial" w:cs="Arial"/>
          <w:sz w:val="20"/>
          <w:szCs w:val="20"/>
          <w:lang w:val="uk-UA"/>
        </w:rPr>
        <w:t>дол</w:t>
      </w:r>
      <w:proofErr w:type="spellEnd"/>
      <w:r w:rsidRPr="00A76EEB">
        <w:rPr>
          <w:rFonts w:ascii="Arial" w:hAnsi="Arial" w:cs="Arial"/>
          <w:sz w:val="20"/>
          <w:szCs w:val="20"/>
          <w:lang w:val="uk-UA"/>
        </w:rPr>
        <w:t>. США, що також перевищує показник по Україні в цілому.</w:t>
      </w:r>
    </w:p>
    <w:p w14:paraId="3D95D3D0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u w:val="single"/>
          <w:lang w:val="uk-UA"/>
        </w:rPr>
      </w:pPr>
      <w:r w:rsidRPr="00A76EEB">
        <w:rPr>
          <w:rFonts w:ascii="Arial" w:hAnsi="Arial" w:cs="Arial"/>
          <w:sz w:val="20"/>
          <w:szCs w:val="20"/>
          <w:u w:val="single"/>
          <w:lang w:val="uk-UA"/>
        </w:rPr>
        <w:t>2. Ефективність фінансової політики та показники бюджету</w:t>
      </w:r>
    </w:p>
    <w:p w14:paraId="37EBB372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>Власні доходи бюджету громади за результатами 2020 року склали 1 965,3 млн грн (+94,2 млн грн або +5,0% у порівнянні з 2019 роком). Власні доходи сформували 76,2% від загального обсягу доходів бюджету Сумської міської ТГ (проти 62,6% за результатами 2019 року).</w:t>
      </w:r>
    </w:p>
    <w:p w14:paraId="684FF0EE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 xml:space="preserve">Надходження до бюджету громади є </w:t>
      </w:r>
      <w:proofErr w:type="spellStart"/>
      <w:r w:rsidRPr="00A76EEB">
        <w:rPr>
          <w:rFonts w:ascii="Arial" w:hAnsi="Arial" w:cs="Arial"/>
          <w:sz w:val="20"/>
          <w:szCs w:val="20"/>
          <w:lang w:val="uk-UA"/>
        </w:rPr>
        <w:t>помірно</w:t>
      </w:r>
      <w:proofErr w:type="spellEnd"/>
      <w:r w:rsidRPr="00A76EEB">
        <w:rPr>
          <w:rFonts w:ascii="Arial" w:hAnsi="Arial" w:cs="Arial"/>
          <w:sz w:val="20"/>
          <w:szCs w:val="20"/>
          <w:lang w:val="uk-UA"/>
        </w:rPr>
        <w:t xml:space="preserve"> диверсифікованими за джерелами та платниками. Питома вага податків, сплачених ТОП-20 платниками за 2020 рік, склала 27,5% від загального обсягу податкових надходжень, отриманих бюджетом громади.</w:t>
      </w:r>
    </w:p>
    <w:p w14:paraId="5DDAD677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>Показник податкоспроможності бюджету Сумської міської ТГ (ПДФО на 1 мешканця) є вищим за середній по країні, через що бюджет залишається бюджетом-донором, перерахувавши до державного бюджету реверсну дотацію –108 116,6 тис. грн за 2020 рік.</w:t>
      </w:r>
    </w:p>
    <w:p w14:paraId="2F6284AC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trike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>Дефіцит бюджету громади за 2020 рік склав 10 871,3 тис.</w:t>
      </w:r>
      <w:r w:rsidRPr="00A76EEB">
        <w:rPr>
          <w:rFonts w:ascii="Arial" w:hAnsi="Arial" w:cs="Arial"/>
          <w:sz w:val="20"/>
          <w:szCs w:val="20"/>
          <w:lang w:val="en-US"/>
        </w:rPr>
        <w:t> </w:t>
      </w:r>
      <w:r w:rsidRPr="00A76EEB">
        <w:rPr>
          <w:rFonts w:ascii="Arial" w:hAnsi="Arial" w:cs="Arial"/>
          <w:sz w:val="20"/>
          <w:szCs w:val="20"/>
          <w:lang w:val="uk-UA"/>
        </w:rPr>
        <w:t>грн, що головним чином пояснюється направленням на видатки вільного залишку коштів бюджету Сумської міської ТГ станом на 01.01.2020</w:t>
      </w:r>
      <w:r w:rsidRPr="00A76EEB">
        <w:rPr>
          <w:rFonts w:ascii="Arial" w:hAnsi="Arial" w:cs="Arial"/>
          <w:sz w:val="20"/>
          <w:szCs w:val="20"/>
          <w:lang w:val="en-US"/>
        </w:rPr>
        <w:t> </w:t>
      </w:r>
      <w:r w:rsidRPr="00A76EEB">
        <w:rPr>
          <w:rFonts w:ascii="Arial" w:hAnsi="Arial" w:cs="Arial"/>
          <w:sz w:val="20"/>
          <w:szCs w:val="20"/>
          <w:lang w:val="uk-UA"/>
        </w:rPr>
        <w:t>р. відповідно до частини четвертої статті 14 та статті 72 Бюджетного кодексу України.</w:t>
      </w:r>
    </w:p>
    <w:p w14:paraId="71889478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>Боргове навантаження на бюджет громади залишається низьким, що дозволяє міській владі розраховувати на додаткове залучення фінансових ресурсів (для фінансування заходів соціально-економічного розвитку та інфраструктурних проєктів). Співвідношення консолідованого боргу Сумської міської ради до власних доходів за 2020 рік склало 7,3%, до планових доходів за 2021 рік - 6,5%.</w:t>
      </w:r>
    </w:p>
    <w:p w14:paraId="1FB4C591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u w:val="single"/>
          <w:lang w:val="uk-UA"/>
        </w:rPr>
      </w:pPr>
      <w:r w:rsidRPr="00A76EEB">
        <w:rPr>
          <w:rFonts w:ascii="Arial" w:hAnsi="Arial" w:cs="Arial"/>
          <w:sz w:val="20"/>
          <w:szCs w:val="20"/>
          <w:u w:val="single"/>
          <w:lang w:val="uk-UA"/>
        </w:rPr>
        <w:t xml:space="preserve">3. Інвестиційний потенціал </w:t>
      </w:r>
    </w:p>
    <w:p w14:paraId="750C1CD2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У</w:t>
      </w:r>
      <w:r w:rsidRPr="00A76EEB">
        <w:rPr>
          <w:rFonts w:ascii="Arial" w:hAnsi="Arial" w:cs="Arial"/>
          <w:sz w:val="20"/>
          <w:szCs w:val="20"/>
          <w:lang w:val="uk-UA"/>
        </w:rPr>
        <w:t xml:space="preserve"> м. Суми функціонує розвинена система транспортного обслуговування. На території міста наявна велика залізнична станція; через місто проходять 2 автошляхи національного значення та 2 автошляхи регіонального значення. Функціонує автовокзал, який обслуговує 250 перевізників та здійснює диспетчерське управління рухом автобусів на регулярних маршрутах. Працює приміська автостанція, з яких здійснюються міжнародні та міжміські перевезення. В межах міста розташований аеропорт «Суми» (перебуває в комунальній власності Сумської обласної ради), який функціонує в режимі приватних перевезень.</w:t>
      </w:r>
    </w:p>
    <w:p w14:paraId="6CBA99A0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 xml:space="preserve">Сумська міська ТГ має потужний кадровий потенціал. При цьому, конкуренція для бізнесу та вартість трудових ресурсів є нижчою, у порівнянні зі столицею та більшістю обласних центрів України. </w:t>
      </w:r>
    </w:p>
    <w:p w14:paraId="4DA47A59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>Наявна розвинена торгівельна, промислова та бізнес-інфраструктура. П</w:t>
      </w:r>
      <w:r w:rsidRPr="00A76EEB">
        <w:rPr>
          <w:rFonts w:ascii="Arial" w:eastAsia="Times New Roman" w:hAnsi="Arial" w:cs="Arial"/>
          <w:sz w:val="20"/>
          <w:szCs w:val="20"/>
          <w:lang w:val="uk-UA" w:eastAsia="ru-RU"/>
        </w:rPr>
        <w:t>роводиться робота в напрямку створення  Індустріального парку «Суми</w:t>
      </w:r>
      <w:r w:rsidRPr="00A76EEB">
        <w:rPr>
          <w:rFonts w:ascii="Arial" w:hAnsi="Arial" w:cs="Arial"/>
          <w:sz w:val="20"/>
          <w:szCs w:val="20"/>
          <w:lang w:val="uk-UA"/>
        </w:rPr>
        <w:t>».</w:t>
      </w:r>
    </w:p>
    <w:p w14:paraId="39F67F79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>На території Сумської міської ТГ діє Цільова програма підтримки малого і середнього підприємництва Сумської міської територіальної громади на 2020-2022 роки. Більшість ставок місцевих податків є нижчими за максимальний рівень, передбачений законодавством, що створює умови для розвитку підприємництва.</w:t>
      </w:r>
    </w:p>
    <w:p w14:paraId="40852850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lastRenderedPageBreak/>
        <w:t>Значна увага приділяється заходам з підвищення енергоефективності міського господарства, в першу чергу в бюджетній сфері.</w:t>
      </w:r>
    </w:p>
    <w:p w14:paraId="4F68595B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>Ефективно організована робота з потенційними інвесторами, наявний позитивний досвід реалізації інвестиційних проєктів з залученням коштів міжнародних фінансових організацій.</w:t>
      </w:r>
    </w:p>
    <w:p w14:paraId="7138DF28" w14:textId="77777777" w:rsidR="00B53CCF" w:rsidRPr="00A76EEB" w:rsidRDefault="00B53CCF" w:rsidP="00B53CCF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>Для проведення аналітичного дослідження були використані матеріали, отримані від Сумської міської ради, у тому числі: показники соціально-економічного розвитку, статистичні дані, казначейська звітність, програмні матеріали, інша необхідна внутрішня інформація, а також інформація з відкритих джерел, яку Рейтингове агентство вважає достовірною.</w:t>
      </w:r>
    </w:p>
    <w:p w14:paraId="2DD5FF56" w14:textId="77777777" w:rsidR="00B53CCF" w:rsidRPr="00A76EEB" w:rsidRDefault="00B53CCF" w:rsidP="00B53CC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14:paraId="05B15F30" w14:textId="77777777" w:rsidR="00B53CCF" w:rsidRPr="00A76EEB" w:rsidRDefault="00B53CCF" w:rsidP="00B53CCF">
      <w:pPr>
        <w:spacing w:after="0" w:line="240" w:lineRule="auto"/>
        <w:ind w:firstLine="567"/>
        <w:jc w:val="both"/>
        <w:rPr>
          <w:rStyle w:val="a3"/>
          <w:rFonts w:ascii="Arial" w:hAnsi="Arial" w:cs="Arial"/>
          <w:sz w:val="20"/>
          <w:szCs w:val="20"/>
          <w:lang w:val="uk-UA"/>
        </w:rPr>
      </w:pPr>
      <w:r w:rsidRPr="00A76EEB">
        <w:rPr>
          <w:rStyle w:val="a3"/>
          <w:rFonts w:ascii="Arial" w:hAnsi="Arial" w:cs="Arial"/>
          <w:sz w:val="20"/>
          <w:szCs w:val="20"/>
          <w:lang w:val="uk-UA"/>
        </w:rPr>
        <w:t>Муніципальний департамент</w:t>
      </w:r>
    </w:p>
    <w:p w14:paraId="009D58DB" w14:textId="77777777" w:rsidR="00B53CCF" w:rsidRPr="00A76EEB" w:rsidRDefault="00B53CCF" w:rsidP="00B53CC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>За додатковою інформацією звертайтесь:</w:t>
      </w:r>
    </w:p>
    <w:p w14:paraId="2F6687AD" w14:textId="77777777" w:rsidR="00B53CCF" w:rsidRPr="00A76EEB" w:rsidRDefault="00B53CCF" w:rsidP="00B53CC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hyperlink r:id="rId5" w:history="1">
        <w:proofErr w:type="spellStart"/>
        <w:r w:rsidRPr="00447BDC">
          <w:rPr>
            <w:rStyle w:val="a4"/>
            <w:rFonts w:ascii="Arial" w:hAnsi="Arial" w:cs="Arial"/>
            <w:sz w:val="20"/>
            <w:szCs w:val="20"/>
            <w:lang w:val="uk-UA"/>
          </w:rPr>
          <w:t>Пресслужба</w:t>
        </w:r>
        <w:proofErr w:type="spellEnd"/>
        <w:r w:rsidRPr="00447BDC">
          <w:rPr>
            <w:rStyle w:val="a4"/>
            <w:rFonts w:ascii="Arial" w:hAnsi="Arial" w:cs="Arial"/>
            <w:sz w:val="20"/>
            <w:szCs w:val="20"/>
            <w:lang w:val="uk-UA"/>
          </w:rPr>
          <w:t xml:space="preserve"> IBI-</w:t>
        </w:r>
        <w:proofErr w:type="spellStart"/>
        <w:r w:rsidRPr="00447BDC">
          <w:rPr>
            <w:rStyle w:val="a4"/>
            <w:rFonts w:ascii="Arial" w:hAnsi="Arial" w:cs="Arial"/>
            <w:sz w:val="20"/>
            <w:szCs w:val="20"/>
            <w:lang w:val="uk-UA"/>
          </w:rPr>
          <w:t>Rating</w:t>
        </w:r>
        <w:proofErr w:type="spellEnd"/>
      </w:hyperlink>
    </w:p>
    <w:p w14:paraId="0B6FC195" w14:textId="77777777" w:rsidR="00B53CCF" w:rsidRPr="00A76EEB" w:rsidRDefault="00B53CCF" w:rsidP="00B53CC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A76EEB">
        <w:rPr>
          <w:rFonts w:ascii="Arial" w:hAnsi="Arial" w:cs="Arial"/>
          <w:sz w:val="20"/>
          <w:szCs w:val="20"/>
          <w:lang w:val="uk-UA"/>
        </w:rPr>
        <w:t>(044) 362-90-84</w:t>
      </w:r>
    </w:p>
    <w:p w14:paraId="596225EA" w14:textId="77777777" w:rsidR="00B53CCF" w:rsidRPr="00A76EEB" w:rsidRDefault="00B53CCF" w:rsidP="00B53CC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A76EEB">
        <w:rPr>
          <w:rFonts w:ascii="Arial" w:hAnsi="Arial" w:cs="Arial"/>
          <w:sz w:val="20"/>
          <w:szCs w:val="20"/>
          <w:lang w:val="uk-UA"/>
        </w:rPr>
        <w:t>press</w:t>
      </w:r>
      <w:proofErr w:type="spellEnd"/>
      <w:r w:rsidRPr="00A76EEB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A76EEB">
        <w:rPr>
          <w:rFonts w:ascii="Arial" w:hAnsi="Arial" w:cs="Arial"/>
          <w:sz w:val="20"/>
          <w:szCs w:val="20"/>
          <w:lang w:val="uk-UA"/>
        </w:rPr>
        <w:t>at</w:t>
      </w:r>
      <w:proofErr w:type="spellEnd"/>
      <w:r w:rsidRPr="00A76EEB">
        <w:rPr>
          <w:rFonts w:ascii="Arial" w:hAnsi="Arial" w:cs="Arial"/>
          <w:sz w:val="20"/>
          <w:szCs w:val="20"/>
          <w:lang w:val="uk-UA"/>
        </w:rPr>
        <w:t>)ibi.com.ua</w:t>
      </w:r>
    </w:p>
    <w:p w14:paraId="3C6859A0" w14:textId="77777777" w:rsidR="006C2B3E" w:rsidRPr="00B53CCF" w:rsidRDefault="006C2B3E">
      <w:pPr>
        <w:rPr>
          <w:lang w:val="uk-UA"/>
        </w:rPr>
      </w:pPr>
    </w:p>
    <w:sectPr w:rsidR="006C2B3E" w:rsidRPr="00B53CCF" w:rsidSect="00DF6F7E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1F"/>
    <w:rsid w:val="00434C1F"/>
    <w:rsid w:val="006C2B3E"/>
    <w:rsid w:val="00B5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BC3ED-E6E5-4EDF-BF54-B2C2BA6B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CCF"/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3CCF"/>
    <w:rPr>
      <w:b/>
      <w:bCs/>
    </w:rPr>
  </w:style>
  <w:style w:type="character" w:styleId="a4">
    <w:name w:val="Hyperlink"/>
    <w:basedOn w:val="a0"/>
    <w:uiPriority w:val="99"/>
    <w:unhideWhenUsed/>
    <w:rsid w:val="00B53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bi.com.ua/UK/news/informaciya-dlya-zm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Kutuzova</dc:creator>
  <cp:keywords/>
  <dc:description/>
  <cp:lastModifiedBy>Anna Kutuzova</cp:lastModifiedBy>
  <cp:revision>2</cp:revision>
  <dcterms:created xsi:type="dcterms:W3CDTF">2021-06-17T18:15:00Z</dcterms:created>
  <dcterms:modified xsi:type="dcterms:W3CDTF">2021-06-17T18:15:00Z</dcterms:modified>
</cp:coreProperties>
</file>