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2" w:rsidRPr="00842ED3" w:rsidRDefault="005253F2" w:rsidP="00261795">
      <w:pPr>
        <w:jc w:val="center"/>
        <w:rPr>
          <w:sz w:val="28"/>
          <w:szCs w:val="28"/>
        </w:rPr>
      </w:pPr>
      <w:r w:rsidRPr="00842ED3">
        <w:rPr>
          <w:noProof/>
          <w:sz w:val="28"/>
          <w:szCs w:val="28"/>
        </w:rPr>
        <w:drawing>
          <wp:inline distT="0" distB="0" distL="0" distR="0">
            <wp:extent cx="429260" cy="6121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F2" w:rsidRPr="00842ED3" w:rsidRDefault="005253F2" w:rsidP="005253F2">
      <w:pPr>
        <w:tabs>
          <w:tab w:val="left" w:pos="7453"/>
        </w:tabs>
      </w:pPr>
      <w:r w:rsidRPr="00842ED3">
        <w:tab/>
      </w:r>
    </w:p>
    <w:p w:rsidR="005253F2" w:rsidRPr="00842ED3" w:rsidRDefault="005253F2" w:rsidP="005253F2">
      <w:pPr>
        <w:jc w:val="center"/>
        <w:rPr>
          <w:b/>
          <w:sz w:val="36"/>
          <w:szCs w:val="40"/>
        </w:rPr>
      </w:pPr>
      <w:r w:rsidRPr="00842ED3">
        <w:rPr>
          <w:b/>
          <w:sz w:val="36"/>
          <w:szCs w:val="40"/>
        </w:rPr>
        <w:t>РОЗПОРЯДЖЕННЯ</w:t>
      </w:r>
    </w:p>
    <w:p w:rsidR="005253F2" w:rsidRPr="00842ED3" w:rsidRDefault="005253F2" w:rsidP="005253F2">
      <w:pPr>
        <w:jc w:val="center"/>
        <w:rPr>
          <w:sz w:val="32"/>
          <w:szCs w:val="32"/>
        </w:rPr>
      </w:pPr>
      <w:r w:rsidRPr="00842ED3">
        <w:rPr>
          <w:sz w:val="32"/>
          <w:szCs w:val="32"/>
        </w:rPr>
        <w:t>МІСЬКОГО ГОЛОВИ</w:t>
      </w:r>
    </w:p>
    <w:p w:rsidR="005253F2" w:rsidRPr="00842ED3" w:rsidRDefault="005253F2" w:rsidP="005253F2">
      <w:pPr>
        <w:jc w:val="center"/>
        <w:rPr>
          <w:sz w:val="32"/>
          <w:szCs w:val="32"/>
        </w:rPr>
      </w:pPr>
      <w:r w:rsidRPr="00842ED3">
        <w:rPr>
          <w:sz w:val="32"/>
          <w:szCs w:val="32"/>
        </w:rPr>
        <w:t xml:space="preserve">м. </w:t>
      </w:r>
      <w:proofErr w:type="spellStart"/>
      <w:r w:rsidRPr="00842ED3">
        <w:rPr>
          <w:sz w:val="32"/>
          <w:szCs w:val="32"/>
        </w:rPr>
        <w:t>Суми</w:t>
      </w:r>
      <w:proofErr w:type="spellEnd"/>
    </w:p>
    <w:p w:rsidR="00D079D2" w:rsidRDefault="00D079D2" w:rsidP="00D079D2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754"/>
      </w:tblGrid>
      <w:tr w:rsidR="00D079D2" w:rsidTr="00D079D2">
        <w:tc>
          <w:tcPr>
            <w:tcW w:w="4754" w:type="dxa"/>
            <w:hideMark/>
          </w:tcPr>
          <w:p w:rsidR="00D079D2" w:rsidRDefault="00D079D2" w:rsidP="00BF1C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261795">
              <w:rPr>
                <w:sz w:val="28"/>
                <w:szCs w:val="28"/>
                <w:lang w:val="uk-UA"/>
              </w:rPr>
              <w:t xml:space="preserve">18.02.2016 р.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bookmarkStart w:id="0" w:name="_GoBack"/>
            <w:bookmarkEnd w:id="0"/>
            <w:r w:rsidR="00261795">
              <w:rPr>
                <w:sz w:val="28"/>
                <w:szCs w:val="28"/>
                <w:lang w:val="uk-UA"/>
              </w:rPr>
              <w:t>41-Р</w:t>
            </w:r>
          </w:p>
        </w:tc>
      </w:tr>
      <w:tr w:rsidR="00D079D2" w:rsidTr="00D079D2">
        <w:tc>
          <w:tcPr>
            <w:tcW w:w="4754" w:type="dxa"/>
          </w:tcPr>
          <w:p w:rsidR="00D079D2" w:rsidRDefault="00D079D2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079D2" w:rsidRDefault="00D079D2" w:rsidP="00D079D2">
      <w:pPr>
        <w:rPr>
          <w:vanish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</w:tblGrid>
      <w:tr w:rsidR="00D079D2" w:rsidTr="00D079D2">
        <w:trPr>
          <w:trHeight w:val="932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9D2" w:rsidRDefault="00D079D2" w:rsidP="00D079D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перейменування вулиц</w:t>
            </w:r>
            <w:r w:rsidR="00BA2F18">
              <w:rPr>
                <w:b/>
                <w:bCs/>
                <w:sz w:val="28"/>
                <w:szCs w:val="28"/>
                <w:lang w:val="uk-UA"/>
              </w:rPr>
              <w:t xml:space="preserve">ь Куйбишева,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Крупської</w:t>
            </w:r>
            <w:proofErr w:type="spellEnd"/>
            <w:r w:rsidR="00BA2F18">
              <w:rPr>
                <w:b/>
                <w:bCs/>
                <w:sz w:val="28"/>
                <w:szCs w:val="28"/>
                <w:lang w:val="uk-UA"/>
              </w:rPr>
              <w:t xml:space="preserve"> та Федька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у м. Суми</w:t>
            </w:r>
          </w:p>
          <w:p w:rsidR="005253F2" w:rsidRDefault="005253F2" w:rsidP="00D079D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079D2" w:rsidRDefault="00D079D2" w:rsidP="00D079D2">
      <w:pPr>
        <w:jc w:val="both"/>
        <w:rPr>
          <w:sz w:val="16"/>
          <w:szCs w:val="16"/>
          <w:lang w:val="uk-UA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D079D2" w:rsidTr="00D079D2">
        <w:trPr>
          <w:trHeight w:val="358"/>
        </w:trPr>
        <w:tc>
          <w:tcPr>
            <w:tcW w:w="9356" w:type="dxa"/>
            <w:hideMark/>
          </w:tcPr>
          <w:p w:rsidR="00D079D2" w:rsidRDefault="00D079D2" w:rsidP="00D079D2">
            <w:pPr>
              <w:ind w:left="-36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  На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враховуючи рекомендації Українського інституту національної пам’яті, з метою ліквідації символів комуністичного тоталітарного режиму, керуючись пунктом 20 частини 4 статті 42, частиною 8 статті 59 Закону України «Про місцеве самоврядування в Україні»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D079D2" w:rsidTr="00D079D2">
        <w:trPr>
          <w:trHeight w:val="342"/>
        </w:trPr>
        <w:tc>
          <w:tcPr>
            <w:tcW w:w="9356" w:type="dxa"/>
          </w:tcPr>
          <w:p w:rsidR="00D079D2" w:rsidRDefault="00D079D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79D2" w:rsidRPr="00BA2F18" w:rsidTr="00D079D2">
        <w:trPr>
          <w:trHeight w:val="342"/>
        </w:trPr>
        <w:tc>
          <w:tcPr>
            <w:tcW w:w="9356" w:type="dxa"/>
          </w:tcPr>
          <w:p w:rsidR="00170B65" w:rsidRDefault="00D079D2" w:rsidP="00170B65">
            <w:pPr>
              <w:pStyle w:val="a4"/>
              <w:numPr>
                <w:ilvl w:val="0"/>
                <w:numId w:val="1"/>
              </w:num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D079D2">
              <w:rPr>
                <w:sz w:val="28"/>
                <w:szCs w:val="28"/>
                <w:lang w:val="uk-UA"/>
              </w:rPr>
              <w:t>Перейменувати</w:t>
            </w:r>
            <w:r w:rsidR="00170B65">
              <w:rPr>
                <w:sz w:val="28"/>
                <w:szCs w:val="28"/>
                <w:lang w:val="uk-UA"/>
              </w:rPr>
              <w:t>:</w:t>
            </w:r>
          </w:p>
          <w:p w:rsidR="00D079D2" w:rsidRPr="00170B65" w:rsidRDefault="00D079D2" w:rsidP="00170B65">
            <w:pPr>
              <w:pStyle w:val="a4"/>
              <w:numPr>
                <w:ilvl w:val="1"/>
                <w:numId w:val="1"/>
              </w:num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70B65">
              <w:rPr>
                <w:sz w:val="28"/>
                <w:szCs w:val="28"/>
                <w:lang w:val="uk-UA"/>
              </w:rPr>
              <w:t xml:space="preserve">вулицю Куйбишева </w:t>
            </w:r>
            <w:r w:rsidR="00BA2F18">
              <w:rPr>
                <w:sz w:val="28"/>
                <w:szCs w:val="28"/>
                <w:lang w:val="uk-UA"/>
              </w:rPr>
              <w:t xml:space="preserve">на вулицю Олексія </w:t>
            </w:r>
            <w:proofErr w:type="spellStart"/>
            <w:r w:rsidR="00BA2F18">
              <w:rPr>
                <w:sz w:val="28"/>
                <w:szCs w:val="28"/>
                <w:lang w:val="uk-UA"/>
              </w:rPr>
              <w:t>Братушки</w:t>
            </w:r>
            <w:proofErr w:type="spellEnd"/>
            <w:r w:rsidR="00BA2F18">
              <w:rPr>
                <w:sz w:val="28"/>
                <w:szCs w:val="28"/>
                <w:lang w:val="uk-UA"/>
              </w:rPr>
              <w:t>;</w:t>
            </w:r>
          </w:p>
          <w:p w:rsidR="00D079D2" w:rsidRDefault="00170B65" w:rsidP="00BA2F18">
            <w:pPr>
              <w:pStyle w:val="a4"/>
              <w:numPr>
                <w:ilvl w:val="1"/>
                <w:numId w:val="1"/>
              </w:numPr>
              <w:ind w:left="1593" w:hanging="6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</w:t>
            </w:r>
            <w:r w:rsidR="00D079D2">
              <w:rPr>
                <w:sz w:val="28"/>
                <w:szCs w:val="28"/>
                <w:lang w:val="uk-UA"/>
              </w:rPr>
              <w:t>лицю</w:t>
            </w:r>
            <w:r w:rsidR="002617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A2F18">
              <w:rPr>
                <w:sz w:val="28"/>
                <w:szCs w:val="28"/>
                <w:lang w:val="uk-UA"/>
              </w:rPr>
              <w:t>Крупської</w:t>
            </w:r>
            <w:proofErr w:type="spellEnd"/>
            <w:r w:rsidR="00BA2F18">
              <w:rPr>
                <w:sz w:val="28"/>
                <w:szCs w:val="28"/>
                <w:lang w:val="uk-UA"/>
              </w:rPr>
              <w:t xml:space="preserve"> на вулицю Андрія </w:t>
            </w:r>
            <w:proofErr w:type="spellStart"/>
            <w:r w:rsidR="00BA2F18">
              <w:rPr>
                <w:sz w:val="28"/>
                <w:szCs w:val="28"/>
                <w:lang w:val="uk-UA"/>
              </w:rPr>
              <w:t>Реути</w:t>
            </w:r>
            <w:proofErr w:type="spellEnd"/>
            <w:r w:rsidR="00BA2F18">
              <w:rPr>
                <w:sz w:val="28"/>
                <w:szCs w:val="28"/>
                <w:lang w:val="uk-UA"/>
              </w:rPr>
              <w:t>;</w:t>
            </w:r>
          </w:p>
          <w:p w:rsidR="00D079D2" w:rsidRDefault="00D079D2" w:rsidP="00170B65">
            <w:pPr>
              <w:pStyle w:val="a4"/>
              <w:numPr>
                <w:ilvl w:val="1"/>
                <w:numId w:val="1"/>
              </w:num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вулицю</w:t>
            </w:r>
            <w:r w:rsidR="00706678">
              <w:rPr>
                <w:sz w:val="28"/>
                <w:szCs w:val="28"/>
                <w:lang w:val="uk-UA"/>
              </w:rPr>
              <w:t xml:space="preserve"> Федька на вулицю Героїв </w:t>
            </w:r>
            <w:proofErr w:type="spellStart"/>
            <w:r w:rsidR="00706678" w:rsidRPr="00706678">
              <w:rPr>
                <w:sz w:val="28"/>
                <w:szCs w:val="28"/>
              </w:rPr>
              <w:t>Небесної</w:t>
            </w:r>
            <w:proofErr w:type="spellEnd"/>
            <w:r w:rsidR="002617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6678" w:rsidRPr="00706678">
              <w:rPr>
                <w:sz w:val="28"/>
                <w:szCs w:val="28"/>
              </w:rPr>
              <w:t>Сотні</w:t>
            </w:r>
            <w:proofErr w:type="spellEnd"/>
            <w:r w:rsidR="00BA2F18">
              <w:rPr>
                <w:sz w:val="28"/>
                <w:szCs w:val="28"/>
                <w:lang w:val="uk-UA"/>
              </w:rPr>
              <w:t>.</w:t>
            </w:r>
          </w:p>
          <w:p w:rsidR="00BA2F18" w:rsidRPr="00D079D2" w:rsidRDefault="00BA2F18" w:rsidP="00BA2F18">
            <w:pPr>
              <w:pStyle w:val="a4"/>
              <w:tabs>
                <w:tab w:val="num" w:pos="1504"/>
              </w:tabs>
              <w:ind w:left="167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79D2" w:rsidRPr="00261795" w:rsidTr="00D079D2">
        <w:trPr>
          <w:trHeight w:val="342"/>
        </w:trPr>
        <w:tc>
          <w:tcPr>
            <w:tcW w:w="9356" w:type="dxa"/>
          </w:tcPr>
          <w:p w:rsidR="00D079D2" w:rsidRDefault="00D079D2">
            <w:pPr>
              <w:tabs>
                <w:tab w:val="left" w:pos="-180"/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Управлінню «Центр надання адміністративних послуг</w:t>
            </w:r>
            <w:r w:rsidR="00F8125E">
              <w:rPr>
                <w:sz w:val="28"/>
                <w:szCs w:val="28"/>
                <w:lang w:val="uk-UA"/>
              </w:rPr>
              <w:t xml:space="preserve"> у м. Суми</w:t>
            </w:r>
            <w:r>
              <w:rPr>
                <w:sz w:val="28"/>
                <w:szCs w:val="28"/>
                <w:lang w:val="uk-UA"/>
              </w:rPr>
              <w:t>» (</w:t>
            </w:r>
            <w:proofErr w:type="spellStart"/>
            <w:r>
              <w:rPr>
                <w:sz w:val="28"/>
                <w:szCs w:val="28"/>
                <w:lang w:val="uk-UA"/>
              </w:rPr>
              <w:t>Стрижова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А.В.), рекомендувати управлінню Державної міграційної служби України в Сумській області (</w:t>
            </w:r>
            <w:proofErr w:type="spellStart"/>
            <w:r>
              <w:rPr>
                <w:sz w:val="28"/>
                <w:szCs w:val="28"/>
                <w:lang w:val="uk-UA"/>
              </w:rPr>
              <w:t>Костєнніков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Д.М.) </w:t>
            </w:r>
            <w:r w:rsidR="00606E3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  <w:r w:rsidR="00606E38">
              <w:rPr>
                <w:sz w:val="28"/>
                <w:szCs w:val="28"/>
                <w:lang w:val="uk-UA"/>
              </w:rPr>
              <w:t>ежах наданих повноважень здійснюва</w:t>
            </w:r>
            <w:r>
              <w:rPr>
                <w:sz w:val="28"/>
                <w:szCs w:val="28"/>
                <w:lang w:val="uk-UA"/>
              </w:rPr>
              <w:t>ти внесення змін до даних державної реєстрації м</w:t>
            </w:r>
            <w:r w:rsidR="00606E38">
              <w:rPr>
                <w:sz w:val="28"/>
                <w:szCs w:val="28"/>
                <w:lang w:val="uk-UA"/>
              </w:rPr>
              <w:t>ісця проживання на перейменованих</w:t>
            </w:r>
            <w:r>
              <w:rPr>
                <w:sz w:val="28"/>
                <w:szCs w:val="28"/>
                <w:lang w:val="uk-UA"/>
              </w:rPr>
              <w:t xml:space="preserve"> вулиц</w:t>
            </w:r>
            <w:r w:rsidR="00606E38">
              <w:rPr>
                <w:sz w:val="28"/>
                <w:szCs w:val="28"/>
                <w:lang w:val="uk-UA"/>
              </w:rPr>
              <w:t>ях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079D2" w:rsidRDefault="00D079D2">
            <w:pPr>
              <w:tabs>
                <w:tab w:val="left" w:pos="-180"/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  <w:p w:rsidR="00D079D2" w:rsidRDefault="00D079D2">
            <w:pPr>
              <w:tabs>
                <w:tab w:val="left" w:pos="-180"/>
                <w:tab w:val="num" w:pos="1504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Рекомендувати підприємствам, установам, організаціям всіх форм власно</w:t>
            </w:r>
            <w:r w:rsidR="00F8125E">
              <w:rPr>
                <w:sz w:val="28"/>
                <w:szCs w:val="28"/>
                <w:lang w:val="uk-UA"/>
              </w:rPr>
              <w:t>сті, структурним підрозділам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у своїй діяльності керуватися цим розпорядженням. </w:t>
            </w:r>
          </w:p>
          <w:p w:rsidR="00D079D2" w:rsidRDefault="00D079D2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79D2" w:rsidTr="00D079D2">
        <w:trPr>
          <w:trHeight w:val="342"/>
        </w:trPr>
        <w:tc>
          <w:tcPr>
            <w:tcW w:w="9356" w:type="dxa"/>
          </w:tcPr>
          <w:p w:rsidR="00D079D2" w:rsidRDefault="00D079D2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4. </w:t>
            </w:r>
            <w:r>
              <w:rPr>
                <w:sz w:val="28"/>
                <w:szCs w:val="28"/>
                <w:lang w:val="uk-UA"/>
              </w:rPr>
              <w:t>Департаменту містобудув</w:t>
            </w:r>
            <w:r w:rsidR="00F8125E">
              <w:rPr>
                <w:sz w:val="28"/>
                <w:szCs w:val="28"/>
                <w:lang w:val="uk-UA"/>
              </w:rPr>
              <w:t>ання та земельних відносин      (</w:t>
            </w:r>
            <w:r w:rsidR="00F8125E" w:rsidRPr="00F8125E">
              <w:rPr>
                <w:sz w:val="28"/>
                <w:szCs w:val="28"/>
              </w:rPr>
              <w:t>Бондаренко О.</w:t>
            </w:r>
            <w:r w:rsidR="00F8125E">
              <w:rPr>
                <w:sz w:val="28"/>
                <w:szCs w:val="28"/>
                <w:lang w:val="uk-UA"/>
              </w:rPr>
              <w:t>О.</w:t>
            </w:r>
            <w:r w:rsidR="001A3CEB">
              <w:rPr>
                <w:sz w:val="28"/>
                <w:szCs w:val="28"/>
                <w:lang w:val="uk-UA"/>
              </w:rPr>
              <w:t xml:space="preserve">) до </w:t>
            </w:r>
            <w:r w:rsidR="00F8125E">
              <w:rPr>
                <w:sz w:val="28"/>
                <w:szCs w:val="28"/>
                <w:lang w:val="uk-UA"/>
              </w:rPr>
              <w:t>0</w:t>
            </w:r>
            <w:r w:rsidR="001A3CEB">
              <w:rPr>
                <w:sz w:val="28"/>
                <w:szCs w:val="28"/>
                <w:lang w:val="uk-UA"/>
              </w:rPr>
              <w:t>1 квітня</w:t>
            </w:r>
            <w:r>
              <w:rPr>
                <w:sz w:val="28"/>
                <w:szCs w:val="28"/>
                <w:lang w:val="uk-UA"/>
              </w:rPr>
              <w:t xml:space="preserve"> 2016 року:</w:t>
            </w:r>
          </w:p>
          <w:p w:rsidR="00BA2F18" w:rsidRDefault="00BA2F18">
            <w:pPr>
              <w:tabs>
                <w:tab w:val="left" w:pos="1080"/>
              </w:tabs>
              <w:ind w:left="881"/>
              <w:jc w:val="both"/>
              <w:rPr>
                <w:sz w:val="28"/>
                <w:szCs w:val="28"/>
                <w:lang w:val="uk-UA"/>
              </w:rPr>
            </w:pPr>
          </w:p>
          <w:p w:rsidR="00D079D2" w:rsidRDefault="00D079D2" w:rsidP="001A3CEB">
            <w:pPr>
              <w:tabs>
                <w:tab w:val="left" w:pos="1080"/>
              </w:tabs>
              <w:ind w:left="-108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4.1.</w:t>
            </w:r>
            <w:r>
              <w:rPr>
                <w:sz w:val="28"/>
                <w:szCs w:val="28"/>
                <w:lang w:val="uk-UA"/>
              </w:rPr>
              <w:t>Внести зміни до Реєстру назв вулиць (площ, провулків, проїздів, проспектів тощо)</w:t>
            </w:r>
            <w:r w:rsidR="0026179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розташованих на території міста Суми, затвердженого рішенням Сумської міської ради від 16 грудня 2015 року № 97-МР.</w:t>
            </w:r>
          </w:p>
          <w:p w:rsidR="001A3CEB" w:rsidRDefault="001A3CEB" w:rsidP="001A3CEB">
            <w:pPr>
              <w:tabs>
                <w:tab w:val="left" w:pos="1080"/>
              </w:tabs>
              <w:ind w:firstLine="885"/>
              <w:jc w:val="both"/>
              <w:rPr>
                <w:sz w:val="28"/>
                <w:szCs w:val="28"/>
                <w:lang w:val="uk-UA"/>
              </w:rPr>
            </w:pPr>
          </w:p>
          <w:p w:rsidR="00D079D2" w:rsidRDefault="001A3CEB" w:rsidP="001A3CEB">
            <w:pPr>
              <w:tabs>
                <w:tab w:val="left" w:pos="1080"/>
              </w:tabs>
              <w:ind w:firstLine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4.2</w:t>
            </w:r>
            <w:r w:rsidR="00D079D2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D079D2">
              <w:rPr>
                <w:sz w:val="28"/>
                <w:szCs w:val="28"/>
                <w:lang w:val="uk-UA"/>
              </w:rPr>
              <w:t xml:space="preserve">Надіслати це розпорядження Сумській філії державного підприємства «Інформаційний центр» Міністерства юстиції України. </w:t>
            </w:r>
          </w:p>
          <w:p w:rsidR="00D079D2" w:rsidRDefault="00D079D2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  <w:p w:rsidR="00D079D2" w:rsidRDefault="00D079D2">
            <w:pPr>
              <w:tabs>
                <w:tab w:val="left" w:pos="1080"/>
              </w:tabs>
              <w:ind w:firstLine="59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</w:t>
            </w:r>
            <w:r>
              <w:rPr>
                <w:sz w:val="28"/>
                <w:szCs w:val="28"/>
                <w:lang w:val="uk-UA"/>
              </w:rPr>
              <w:t xml:space="preserve"> Департаменту інфраструктури міста (Яременко Г.І.) спільно з департаментом</w:t>
            </w:r>
            <w:r w:rsidR="001A3CEB">
              <w:rPr>
                <w:sz w:val="28"/>
                <w:szCs w:val="28"/>
                <w:lang w:val="uk-UA"/>
              </w:rPr>
              <w:t xml:space="preserve"> фінансів, економіки і бюджетних відносин</w:t>
            </w:r>
            <w:r>
              <w:rPr>
                <w:sz w:val="28"/>
                <w:szCs w:val="28"/>
                <w:lang w:val="uk-UA"/>
              </w:rPr>
              <w:t xml:space="preserve"> (Липова С.А.) до 01 червня 2016 року опрацювати питання фінансування витрат, пов’язаних із замі</w:t>
            </w:r>
            <w:r w:rsidR="001A3CEB">
              <w:rPr>
                <w:sz w:val="28"/>
                <w:szCs w:val="28"/>
                <w:lang w:val="uk-UA"/>
              </w:rPr>
              <w:t>ною покажчиків на перейменованих вулицях</w:t>
            </w:r>
            <w:r>
              <w:rPr>
                <w:sz w:val="28"/>
                <w:szCs w:val="28"/>
                <w:lang w:val="uk-UA"/>
              </w:rPr>
              <w:t xml:space="preserve"> за рахунок коштів міського бюджету, відповідно до Комплексної цільової програми реформування і розвитку житлово-комунального господарства м. Суми на 2015-2017 роки, затвердженої рішенням Сумської міської ради від 26.12.2014 № 3914-МР (зі змінами).</w:t>
            </w:r>
          </w:p>
          <w:p w:rsidR="00D079D2" w:rsidRDefault="00D079D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079D2" w:rsidRDefault="00D079D2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 (Кохан А.І.):</w:t>
            </w:r>
          </w:p>
          <w:p w:rsidR="00D079D2" w:rsidRDefault="00D079D2">
            <w:pPr>
              <w:ind w:left="881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079D2" w:rsidRDefault="00D079D2" w:rsidP="001A3CEB">
            <w:pPr>
              <w:ind w:left="-108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6.1.</w:t>
            </w:r>
            <w:r>
              <w:rPr>
                <w:sz w:val="28"/>
                <w:szCs w:val="28"/>
                <w:lang w:val="uk-UA"/>
              </w:rPr>
              <w:t xml:space="preserve"> Вжити заходів щодо інформування мешканців міста про перейменування</w:t>
            </w:r>
            <w:r w:rsidR="001A3CEB">
              <w:rPr>
                <w:sz w:val="28"/>
                <w:szCs w:val="28"/>
                <w:lang w:val="uk-UA"/>
              </w:rPr>
              <w:t xml:space="preserve"> вулиць, вказаних у пункті 1 даного розпорядження.</w:t>
            </w:r>
          </w:p>
          <w:p w:rsidR="00D079D2" w:rsidRDefault="00D079D2" w:rsidP="001A3CEB">
            <w:pPr>
              <w:ind w:left="60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6.2.</w:t>
            </w:r>
            <w:r>
              <w:rPr>
                <w:sz w:val="28"/>
                <w:szCs w:val="28"/>
                <w:lang w:val="uk-UA"/>
              </w:rPr>
              <w:t xml:space="preserve"> Оприлюднити це розпорядження згідно чинного законодавства.</w:t>
            </w:r>
          </w:p>
          <w:p w:rsidR="00D079D2" w:rsidRDefault="00D079D2">
            <w:pPr>
              <w:ind w:firstLine="5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79D2" w:rsidTr="00D079D2">
        <w:trPr>
          <w:trHeight w:val="342"/>
        </w:trPr>
        <w:tc>
          <w:tcPr>
            <w:tcW w:w="9356" w:type="dxa"/>
          </w:tcPr>
          <w:p w:rsidR="00D079D2" w:rsidRDefault="00D079D2">
            <w:pPr>
              <w:tabs>
                <w:tab w:val="left" w:pos="1080"/>
              </w:tabs>
              <w:ind w:firstLine="59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7. </w:t>
            </w:r>
            <w:r>
              <w:rPr>
                <w:sz w:val="28"/>
                <w:szCs w:val="28"/>
                <w:lang w:val="uk-UA"/>
              </w:rPr>
              <w:t>Контроль за виконанням цього розпорядження покласти на заступників міського голови згідно розподілу обов’язків.</w:t>
            </w:r>
          </w:p>
          <w:p w:rsidR="00D079D2" w:rsidRDefault="00D079D2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D079D2" w:rsidRDefault="00D079D2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D079D2" w:rsidRDefault="00D079D2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D079D2" w:rsidRDefault="00D079D2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  <w:p w:rsidR="00D079D2" w:rsidRDefault="00D079D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</w:t>
            </w: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b/>
                <w:bCs/>
                <w:sz w:val="28"/>
                <w:szCs w:val="28"/>
                <w:lang w:val="uk-UA"/>
              </w:rPr>
              <w:tab/>
              <w:t>О.М. Лисенко</w:t>
            </w:r>
          </w:p>
          <w:p w:rsidR="005253F2" w:rsidRDefault="005253F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06E38" w:rsidRDefault="00606E3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079D2" w:rsidRPr="005253F2" w:rsidRDefault="00D079D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079D2" w:rsidTr="00D079D2">
        <w:trPr>
          <w:trHeight w:val="342"/>
        </w:trPr>
        <w:tc>
          <w:tcPr>
            <w:tcW w:w="9356" w:type="dxa"/>
            <w:hideMark/>
          </w:tcPr>
          <w:p w:rsidR="00D079D2" w:rsidRPr="005253F2" w:rsidRDefault="00D079D2">
            <w:pPr>
              <w:pBdr>
                <w:bottom w:val="single" w:sz="12" w:space="1" w:color="auto"/>
              </w:pBdr>
              <w:jc w:val="both"/>
              <w:rPr>
                <w:lang w:val="uk-UA"/>
              </w:rPr>
            </w:pPr>
            <w:r w:rsidRPr="005253F2">
              <w:rPr>
                <w:lang w:val="uk-UA"/>
              </w:rPr>
              <w:t>КоханА.І. 700-561</w:t>
            </w:r>
          </w:p>
          <w:p w:rsidR="00D079D2" w:rsidRDefault="00D079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Розіслати згідно списку розсилки</w:t>
            </w:r>
          </w:p>
        </w:tc>
      </w:tr>
    </w:tbl>
    <w:p w:rsidR="00D079D2" w:rsidRDefault="00D079D2" w:rsidP="00D079D2">
      <w:pPr>
        <w:jc w:val="center"/>
        <w:rPr>
          <w:sz w:val="28"/>
          <w:szCs w:val="28"/>
          <w:lang w:val="uk-UA"/>
        </w:rPr>
      </w:pPr>
    </w:p>
    <w:p w:rsidR="00D079D2" w:rsidRDefault="00D079D2" w:rsidP="00D079D2">
      <w:pPr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5056"/>
        <w:gridCol w:w="4025"/>
        <w:gridCol w:w="596"/>
      </w:tblGrid>
      <w:tr w:rsidR="00D079D2" w:rsidTr="00D079D2">
        <w:trPr>
          <w:gridAfter w:val="1"/>
          <w:wAfter w:w="675" w:type="dxa"/>
        </w:trPr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079D2" w:rsidRDefault="00D079D2" w:rsidP="001A3CEB">
            <w:pPr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Директор департаменту комунікацій та інформаційної політики</w:t>
            </w:r>
          </w:p>
        </w:tc>
        <w:tc>
          <w:tcPr>
            <w:tcW w:w="4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079D2" w:rsidRDefault="00D079D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А.І. Кохан</w:t>
            </w:r>
          </w:p>
        </w:tc>
      </w:tr>
      <w:tr w:rsidR="00D079D2" w:rsidTr="00D079D2">
        <w:trPr>
          <w:gridAfter w:val="1"/>
          <w:wAfter w:w="675" w:type="dxa"/>
        </w:trPr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79D2" w:rsidRDefault="00D079D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79D2" w:rsidRDefault="00D079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079D2" w:rsidTr="00D079D2">
        <w:trPr>
          <w:gridAfter w:val="1"/>
          <w:wAfter w:w="675" w:type="dxa"/>
        </w:trPr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079D2" w:rsidRDefault="00D079D2" w:rsidP="001A3CEB">
            <w:pPr>
              <w:ind w:firstLine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4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079D2" w:rsidRDefault="00D079D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079D2" w:rsidTr="00D079D2">
        <w:trPr>
          <w:gridAfter w:val="1"/>
          <w:wAfter w:w="675" w:type="dxa"/>
        </w:trPr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79D2" w:rsidRDefault="00D079D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79D2" w:rsidRDefault="00D079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079D2" w:rsidTr="00D079D2">
        <w:trPr>
          <w:gridAfter w:val="1"/>
          <w:wAfter w:w="675" w:type="dxa"/>
        </w:trPr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079D2" w:rsidRDefault="00D079D2" w:rsidP="001A3CEB">
            <w:pPr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протокольної роботи та контролю</w:t>
            </w:r>
          </w:p>
        </w:tc>
        <w:tc>
          <w:tcPr>
            <w:tcW w:w="4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079D2" w:rsidRDefault="00D079D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079D2" w:rsidTr="00D079D2">
        <w:trPr>
          <w:gridAfter w:val="1"/>
          <w:wAfter w:w="675" w:type="dxa"/>
        </w:trPr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rPr>
                <w:sz w:val="28"/>
                <w:szCs w:val="28"/>
                <w:lang w:val="uk-UA"/>
              </w:rPr>
            </w:pPr>
          </w:p>
          <w:p w:rsidR="00D079D2" w:rsidRDefault="00D079D2">
            <w:pPr>
              <w:rPr>
                <w:sz w:val="28"/>
                <w:szCs w:val="28"/>
                <w:lang w:val="uk-UA"/>
              </w:rPr>
            </w:pPr>
          </w:p>
          <w:p w:rsidR="00D079D2" w:rsidRDefault="00D079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079D2" w:rsidTr="00D079D2">
        <w:trPr>
          <w:gridAfter w:val="1"/>
          <w:wAfter w:w="675" w:type="dxa"/>
        </w:trPr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079D2" w:rsidRDefault="00D079D2" w:rsidP="001A3CEB">
            <w:pPr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079D2" w:rsidRDefault="00D079D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D079D2" w:rsidTr="00D079D2">
        <w:trPr>
          <w:gridAfter w:val="1"/>
          <w:wAfter w:w="675" w:type="dxa"/>
        </w:trPr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rPr>
                <w:sz w:val="28"/>
                <w:szCs w:val="28"/>
                <w:lang w:val="uk-UA"/>
              </w:rPr>
            </w:pPr>
          </w:p>
          <w:p w:rsidR="00D079D2" w:rsidRDefault="00D079D2">
            <w:pPr>
              <w:rPr>
                <w:sz w:val="28"/>
                <w:szCs w:val="28"/>
                <w:lang w:val="uk-UA"/>
              </w:rPr>
            </w:pPr>
          </w:p>
          <w:p w:rsidR="00D079D2" w:rsidRDefault="00D079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079D2" w:rsidTr="00D079D2">
        <w:trPr>
          <w:gridAfter w:val="1"/>
          <w:wAfter w:w="675" w:type="dxa"/>
        </w:trPr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079D2" w:rsidRDefault="00D079D2" w:rsidP="001A3CEB">
            <w:pPr>
              <w:ind w:left="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D079D2" w:rsidRDefault="00D079D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В.М. Волонтирець</w:t>
            </w:r>
          </w:p>
        </w:tc>
      </w:tr>
      <w:tr w:rsidR="00D079D2" w:rsidTr="00D079D2">
        <w:trPr>
          <w:gridAfter w:val="1"/>
          <w:wAfter w:w="675" w:type="dxa"/>
        </w:trPr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079D2" w:rsidTr="00D079D2"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79D2" w:rsidTr="00D079D2">
        <w:tc>
          <w:tcPr>
            <w:tcW w:w="54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079D2" w:rsidRDefault="00D079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079D2" w:rsidRDefault="00D079D2" w:rsidP="005253F2">
      <w:pPr>
        <w:jc w:val="center"/>
        <w:rPr>
          <w:sz w:val="28"/>
          <w:szCs w:val="28"/>
          <w:lang w:val="uk-UA"/>
        </w:rPr>
      </w:pPr>
    </w:p>
    <w:sectPr w:rsidR="00D079D2" w:rsidSect="0085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0E41"/>
    <w:multiLevelType w:val="multilevel"/>
    <w:tmpl w:val="8E3AB8C6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79D2"/>
    <w:rsid w:val="001208E3"/>
    <w:rsid w:val="00170B65"/>
    <w:rsid w:val="00195948"/>
    <w:rsid w:val="001A3CEB"/>
    <w:rsid w:val="001A6BD4"/>
    <w:rsid w:val="00261795"/>
    <w:rsid w:val="003C20CE"/>
    <w:rsid w:val="003D352F"/>
    <w:rsid w:val="004B76BE"/>
    <w:rsid w:val="005253F2"/>
    <w:rsid w:val="00544F96"/>
    <w:rsid w:val="005D6B01"/>
    <w:rsid w:val="00606E38"/>
    <w:rsid w:val="006B4A19"/>
    <w:rsid w:val="00706678"/>
    <w:rsid w:val="00715301"/>
    <w:rsid w:val="0076288F"/>
    <w:rsid w:val="008508CD"/>
    <w:rsid w:val="00871BB6"/>
    <w:rsid w:val="00A53329"/>
    <w:rsid w:val="00B339BC"/>
    <w:rsid w:val="00B53670"/>
    <w:rsid w:val="00BA2F18"/>
    <w:rsid w:val="00BF1C3B"/>
    <w:rsid w:val="00D079D2"/>
    <w:rsid w:val="00DD59E1"/>
    <w:rsid w:val="00F20BF1"/>
    <w:rsid w:val="00F8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9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D079D2"/>
    <w:rPr>
      <w:color w:val="auto"/>
      <w:u w:val="single"/>
    </w:rPr>
  </w:style>
  <w:style w:type="paragraph" w:styleId="a4">
    <w:name w:val="List Paragraph"/>
    <w:basedOn w:val="a"/>
    <w:uiPriority w:val="34"/>
    <w:qFormat/>
    <w:rsid w:val="00D079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7012-54DF-4DFC-B4CC-FF9722A7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AM</cp:lastModifiedBy>
  <cp:revision>2</cp:revision>
  <cp:lastPrinted>2016-02-18T14:50:00Z</cp:lastPrinted>
  <dcterms:created xsi:type="dcterms:W3CDTF">2016-02-19T15:25:00Z</dcterms:created>
  <dcterms:modified xsi:type="dcterms:W3CDTF">2016-02-19T15:25:00Z</dcterms:modified>
</cp:coreProperties>
</file>