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DD" w:rsidRPr="007A32DD" w:rsidRDefault="007A32DD" w:rsidP="007A32DD">
      <w:pPr>
        <w:ind w:firstLine="567"/>
        <w:jc w:val="both"/>
        <w:rPr>
          <w:iCs/>
          <w:spacing w:val="-1"/>
          <w:sz w:val="24"/>
        </w:rPr>
      </w:pPr>
      <w:r w:rsidRPr="007A32DD">
        <w:rPr>
          <w:iCs/>
          <w:spacing w:val="-1"/>
          <w:sz w:val="24"/>
        </w:rPr>
        <w:t>Відповідно до пункту 4</w:t>
      </w:r>
      <w:r w:rsidRPr="00885A95">
        <w:rPr>
          <w:iCs/>
          <w:spacing w:val="-1"/>
          <w:sz w:val="24"/>
          <w:vertAlign w:val="superscript"/>
        </w:rPr>
        <w:t>1</w:t>
      </w:r>
      <w:r w:rsidRPr="007A32DD">
        <w:rPr>
          <w:iCs/>
          <w:spacing w:val="-1"/>
          <w:sz w:val="24"/>
        </w:rPr>
        <w:t xml:space="preserve"> постанови Кабінету Міністрів України від 11 жовтня 2016 року №</w:t>
      </w:r>
      <w:r>
        <w:rPr>
          <w:iCs/>
          <w:spacing w:val="-1"/>
          <w:sz w:val="24"/>
        </w:rPr>
        <w:t> </w:t>
      </w:r>
      <w:r w:rsidRPr="007A32DD">
        <w:rPr>
          <w:iCs/>
          <w:spacing w:val="-1"/>
          <w:sz w:val="24"/>
        </w:rPr>
        <w:t xml:space="preserve">710 «Про ефективне використання державних коштів» (зі змінами), з метою прозорого, ефективного та раціонального використання коштів повідомляється про </w:t>
      </w:r>
      <w:bookmarkStart w:id="0" w:name="_GoBack"/>
      <w:r w:rsidRPr="007A32DD">
        <w:rPr>
          <w:iCs/>
          <w:spacing w:val="-1"/>
          <w:sz w:val="24"/>
        </w:rPr>
        <w:t xml:space="preserve">закупівлю: </w:t>
      </w:r>
      <w:r w:rsidRPr="006874A6">
        <w:rPr>
          <w:sz w:val="24"/>
        </w:rPr>
        <w:t>Оренда каналів передачі даних та придбання послуг для передачі даних і повідомлень для виконавчих органів Сумської міської ради</w:t>
      </w:r>
      <w:r w:rsidRPr="007A32DD">
        <w:rPr>
          <w:iCs/>
          <w:spacing w:val="-1"/>
          <w:sz w:val="24"/>
        </w:rPr>
        <w:t xml:space="preserve"> – код за ДК 021:2015 ЄЗС – </w:t>
      </w:r>
      <w:r>
        <w:rPr>
          <w:iCs/>
          <w:spacing w:val="-1"/>
          <w:sz w:val="24"/>
        </w:rPr>
        <w:t>72410000</w:t>
      </w:r>
      <w:r w:rsidRPr="007A32DD">
        <w:rPr>
          <w:iCs/>
          <w:spacing w:val="-1"/>
          <w:sz w:val="24"/>
        </w:rPr>
        <w:t>-</w:t>
      </w:r>
      <w:r>
        <w:rPr>
          <w:iCs/>
          <w:spacing w:val="-1"/>
          <w:sz w:val="24"/>
        </w:rPr>
        <w:t>7</w:t>
      </w:r>
      <w:r w:rsidRPr="007A32DD">
        <w:rPr>
          <w:iCs/>
          <w:spacing w:val="-1"/>
          <w:sz w:val="24"/>
        </w:rPr>
        <w:t xml:space="preserve"> «Послуги </w:t>
      </w:r>
      <w:r>
        <w:rPr>
          <w:iCs/>
          <w:spacing w:val="-1"/>
          <w:sz w:val="24"/>
        </w:rPr>
        <w:t>провайдерів</w:t>
      </w:r>
      <w:r w:rsidRPr="007A32DD">
        <w:rPr>
          <w:iCs/>
          <w:spacing w:val="-1"/>
          <w:sz w:val="24"/>
        </w:rPr>
        <w:t xml:space="preserve">» на очікувану вартість </w:t>
      </w:r>
      <w:r>
        <w:rPr>
          <w:iCs/>
          <w:spacing w:val="-1"/>
          <w:sz w:val="24"/>
        </w:rPr>
        <w:t>83</w:t>
      </w:r>
      <w:r w:rsidRPr="007A32DD">
        <w:rPr>
          <w:iCs/>
          <w:spacing w:val="-1"/>
          <w:sz w:val="24"/>
        </w:rPr>
        <w:t xml:space="preserve"> </w:t>
      </w:r>
      <w:r>
        <w:rPr>
          <w:iCs/>
          <w:spacing w:val="-1"/>
          <w:sz w:val="24"/>
        </w:rPr>
        <w:t>34</w:t>
      </w:r>
      <w:r w:rsidRPr="007A32DD">
        <w:rPr>
          <w:iCs/>
          <w:spacing w:val="-1"/>
          <w:sz w:val="24"/>
        </w:rPr>
        <w:t>0 грн.</w:t>
      </w:r>
      <w:bookmarkEnd w:id="0"/>
    </w:p>
    <w:p w:rsidR="007A32DD" w:rsidRPr="007A32DD" w:rsidRDefault="007A32DD" w:rsidP="007A32DD">
      <w:pPr>
        <w:ind w:firstLine="567"/>
        <w:jc w:val="both"/>
        <w:rPr>
          <w:iCs/>
          <w:spacing w:val="-1"/>
          <w:sz w:val="24"/>
        </w:rPr>
      </w:pPr>
      <w:r w:rsidRPr="007A32DD">
        <w:rPr>
          <w:iCs/>
          <w:spacing w:val="-1"/>
          <w:sz w:val="24"/>
        </w:rPr>
        <w:t>При цьому, очікувана вартість предмета закупівлі визначена методом порівняння ринкових цін, Інтернет-ресурсу.</w:t>
      </w:r>
    </w:p>
    <w:p w:rsidR="007A32DD" w:rsidRPr="007A32DD" w:rsidRDefault="007A32DD" w:rsidP="007A32DD">
      <w:pPr>
        <w:ind w:firstLine="567"/>
        <w:jc w:val="both"/>
        <w:rPr>
          <w:iCs/>
          <w:spacing w:val="-1"/>
          <w:sz w:val="24"/>
        </w:rPr>
      </w:pPr>
      <w:r w:rsidRPr="007A32DD">
        <w:rPr>
          <w:iCs/>
          <w:spacing w:val="-1"/>
          <w:sz w:val="24"/>
        </w:rPr>
        <w:t xml:space="preserve">При визначені очікуваної вартості закупівлі враховувалась інформація, що міститься в мережі Інтернет у відкритому доступі, у тому числі в електронній системі </w:t>
      </w:r>
      <w:proofErr w:type="spellStart"/>
      <w:r w:rsidRPr="007A32DD">
        <w:rPr>
          <w:iCs/>
          <w:spacing w:val="-1"/>
          <w:sz w:val="24"/>
        </w:rPr>
        <w:t>Prozorro</w:t>
      </w:r>
      <w:proofErr w:type="spellEnd"/>
      <w:r w:rsidRPr="007A32DD">
        <w:rPr>
          <w:iCs/>
          <w:spacing w:val="-1"/>
          <w:sz w:val="24"/>
        </w:rPr>
        <w:t>.</w:t>
      </w:r>
    </w:p>
    <w:p w:rsidR="00171E54" w:rsidRPr="007A32DD" w:rsidRDefault="007A32DD" w:rsidP="007A32DD">
      <w:pPr>
        <w:ind w:firstLine="567"/>
        <w:jc w:val="both"/>
        <w:rPr>
          <w:iCs/>
          <w:spacing w:val="-1"/>
          <w:sz w:val="24"/>
        </w:rPr>
      </w:pPr>
      <w:r w:rsidRPr="007A32DD">
        <w:rPr>
          <w:iCs/>
          <w:spacing w:val="-1"/>
          <w:sz w:val="24"/>
        </w:rPr>
        <w:t>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 робіт або подібних послуг.</w:t>
      </w:r>
    </w:p>
    <w:p w:rsidR="007A32DD" w:rsidRPr="007A32DD" w:rsidRDefault="007A32DD" w:rsidP="00B8191C">
      <w:pPr>
        <w:jc w:val="center"/>
        <w:rPr>
          <w:iCs/>
          <w:spacing w:val="-1"/>
          <w:sz w:val="24"/>
        </w:rPr>
      </w:pPr>
    </w:p>
    <w:p w:rsidR="00306CE9" w:rsidRPr="00171E54" w:rsidRDefault="00306CE9" w:rsidP="00B8191C">
      <w:pPr>
        <w:jc w:val="center"/>
        <w:rPr>
          <w:iCs/>
          <w:spacing w:val="-1"/>
          <w:sz w:val="22"/>
          <w:szCs w:val="22"/>
          <w:u w:val="single"/>
        </w:rPr>
      </w:pPr>
      <w:r w:rsidRPr="00171E54">
        <w:rPr>
          <w:b/>
          <w:sz w:val="22"/>
          <w:szCs w:val="22"/>
          <w:u w:val="single"/>
        </w:rPr>
        <w:t>ТЕХНІЧНІ, ЯКІСНІ ТА КІЛЬКІСНІ ХАРАКТЕРИСТИКИ ПРЕДМЕТА ЗАКУПІВЛІ</w:t>
      </w:r>
    </w:p>
    <w:p w:rsidR="006874A6" w:rsidRPr="006874A6" w:rsidRDefault="006874A6" w:rsidP="006874A6">
      <w:pPr>
        <w:suppressAutoHyphens/>
        <w:jc w:val="center"/>
        <w:rPr>
          <w:sz w:val="24"/>
        </w:rPr>
      </w:pPr>
      <w:r w:rsidRPr="006874A6">
        <w:rPr>
          <w:sz w:val="24"/>
        </w:rPr>
        <w:t>Оренда каналів передачі даних та придбання послуг для передачі даних і повідомлень для виконавчих органів Сумської міської ради – код за ДК 021:2015 ЄЗС – 72410000-7 «Послуги провайдерів»</w:t>
      </w:r>
    </w:p>
    <w:p w:rsidR="006874A6" w:rsidRPr="006874A6" w:rsidRDefault="006874A6" w:rsidP="006874A6">
      <w:pPr>
        <w:suppressAutoHyphens/>
        <w:jc w:val="center"/>
        <w:rPr>
          <w:kern w:val="2"/>
          <w:sz w:val="24"/>
          <w:lang w:eastAsia="ar-SA"/>
        </w:rPr>
      </w:pPr>
    </w:p>
    <w:p w:rsidR="006874A6" w:rsidRPr="006874A6" w:rsidRDefault="006874A6" w:rsidP="006874A6">
      <w:pPr>
        <w:spacing w:line="259" w:lineRule="auto"/>
        <w:jc w:val="center"/>
        <w:rPr>
          <w:rFonts w:eastAsiaTheme="minorHAnsi"/>
          <w:b/>
          <w:sz w:val="24"/>
          <w:lang w:eastAsia="en-US"/>
        </w:rPr>
      </w:pPr>
      <w:r w:rsidRPr="006874A6">
        <w:rPr>
          <w:rFonts w:eastAsiaTheme="minorHAnsi"/>
          <w:b/>
          <w:sz w:val="24"/>
          <w:lang w:eastAsia="en-US"/>
        </w:rPr>
        <w:t>Завдання до надання Послуги</w:t>
      </w:r>
    </w:p>
    <w:p w:rsidR="006874A6" w:rsidRPr="006874A6" w:rsidRDefault="006874A6" w:rsidP="006874A6">
      <w:pPr>
        <w:ind w:firstLine="709"/>
        <w:jc w:val="both"/>
        <w:rPr>
          <w:sz w:val="24"/>
          <w:u w:val="single"/>
          <w:lang w:eastAsia="en-US"/>
        </w:rPr>
      </w:pPr>
      <w:r w:rsidRPr="006874A6">
        <w:rPr>
          <w:sz w:val="24"/>
          <w:u w:val="single"/>
        </w:rPr>
        <w:t>1. Канали передачі даних.</w:t>
      </w:r>
    </w:p>
    <w:p w:rsidR="006874A6" w:rsidRPr="006874A6" w:rsidRDefault="006874A6" w:rsidP="006874A6">
      <w:pPr>
        <w:ind w:firstLine="709"/>
        <w:jc w:val="both"/>
        <w:rPr>
          <w:sz w:val="24"/>
        </w:rPr>
      </w:pPr>
      <w:r w:rsidRPr="006874A6">
        <w:rPr>
          <w:sz w:val="24"/>
        </w:rPr>
        <w:t xml:space="preserve">Передача Замовнику темних волокон ліній оптоволоконного зв’язку між наведеними в таблиці нижче адресами, що </w:t>
      </w:r>
      <w:proofErr w:type="spellStart"/>
      <w:r w:rsidRPr="006874A6">
        <w:rPr>
          <w:sz w:val="24"/>
        </w:rPr>
        <w:t>зкомутовані</w:t>
      </w:r>
      <w:proofErr w:type="spellEnd"/>
      <w:r w:rsidRPr="006874A6">
        <w:rPr>
          <w:sz w:val="24"/>
        </w:rPr>
        <w:t xml:space="preserve"> без застосування активного мережевого обладнання Учасника.</w:t>
      </w:r>
    </w:p>
    <w:p w:rsidR="006874A6" w:rsidRPr="006874A6" w:rsidRDefault="006874A6" w:rsidP="006874A6">
      <w:pPr>
        <w:ind w:firstLine="709"/>
        <w:jc w:val="both"/>
        <w:rPr>
          <w:sz w:val="24"/>
        </w:rPr>
      </w:pPr>
      <w:r w:rsidRPr="006874A6">
        <w:rPr>
          <w:sz w:val="24"/>
        </w:rPr>
        <w:t xml:space="preserve">Точка підключення – активне мережеве обладнання Замовника. SFP модулі типів A\B SFP 1310 та A\B SFP 1550 для </w:t>
      </w:r>
      <w:proofErr w:type="spellStart"/>
      <w:r w:rsidRPr="006874A6">
        <w:rPr>
          <w:sz w:val="24"/>
        </w:rPr>
        <w:t>оконечення</w:t>
      </w:r>
      <w:proofErr w:type="spellEnd"/>
      <w:r w:rsidRPr="006874A6">
        <w:rPr>
          <w:sz w:val="24"/>
        </w:rPr>
        <w:t xml:space="preserve"> волокон будуть надані Замовником.</w:t>
      </w:r>
    </w:p>
    <w:p w:rsidR="006874A6" w:rsidRPr="006874A6" w:rsidRDefault="006874A6" w:rsidP="006874A6">
      <w:pPr>
        <w:ind w:firstLine="709"/>
        <w:jc w:val="both"/>
        <w:rPr>
          <w:sz w:val="24"/>
        </w:rPr>
      </w:pPr>
      <w:r w:rsidRPr="006874A6">
        <w:rPr>
          <w:sz w:val="24"/>
        </w:rPr>
        <w:t xml:space="preserve">Точка підключення в будівлі по майдану Незалежності, 2 має розташовуватись в комутаційному </w:t>
      </w:r>
      <w:proofErr w:type="spellStart"/>
      <w:r w:rsidRPr="006874A6">
        <w:rPr>
          <w:sz w:val="24"/>
        </w:rPr>
        <w:t>вузлі</w:t>
      </w:r>
      <w:proofErr w:type="spellEnd"/>
      <w:r w:rsidRPr="006874A6">
        <w:rPr>
          <w:sz w:val="24"/>
        </w:rPr>
        <w:t xml:space="preserve"> кабінету № 69.</w:t>
      </w:r>
    </w:p>
    <w:p w:rsidR="006874A6" w:rsidRPr="006874A6" w:rsidRDefault="006874A6" w:rsidP="006874A6">
      <w:pPr>
        <w:ind w:firstLine="709"/>
        <w:jc w:val="both"/>
        <w:rPr>
          <w:sz w:val="24"/>
        </w:rPr>
      </w:pPr>
      <w:r w:rsidRPr="006874A6">
        <w:rPr>
          <w:sz w:val="24"/>
        </w:rPr>
        <w:t>Надані волокна мають підтримувати коректну роботу із обладнанням Замовника та бути сумісні із ним.</w:t>
      </w:r>
    </w:p>
    <w:p w:rsidR="006874A6" w:rsidRPr="006874A6" w:rsidRDefault="006874A6" w:rsidP="006874A6">
      <w:pPr>
        <w:ind w:firstLine="709"/>
        <w:jc w:val="both"/>
        <w:rPr>
          <w:sz w:val="24"/>
        </w:rPr>
      </w:pPr>
      <w:r w:rsidRPr="006874A6">
        <w:rPr>
          <w:sz w:val="24"/>
        </w:rPr>
        <w:t xml:space="preserve">Підтримка гарантованої швидкості підключення за наданими волокнами на менше 10 </w:t>
      </w:r>
      <w:proofErr w:type="spellStart"/>
      <w:r w:rsidRPr="006874A6">
        <w:rPr>
          <w:sz w:val="24"/>
        </w:rPr>
        <w:t>Гбіт</w:t>
      </w:r>
      <w:proofErr w:type="spellEnd"/>
      <w:r w:rsidRPr="006874A6">
        <w:rPr>
          <w:sz w:val="24"/>
        </w:rPr>
        <w:t>/с.</w:t>
      </w:r>
    </w:p>
    <w:p w:rsidR="006874A6" w:rsidRPr="006874A6" w:rsidRDefault="006874A6" w:rsidP="006874A6">
      <w:pPr>
        <w:ind w:firstLine="709"/>
        <w:jc w:val="both"/>
        <w:rPr>
          <w:sz w:val="24"/>
        </w:rPr>
      </w:pPr>
      <w:r w:rsidRPr="006874A6">
        <w:rPr>
          <w:sz w:val="24"/>
        </w:rPr>
        <w:t>Підключення має бути гарантовано доступне по всіх точках та адресах.</w:t>
      </w:r>
    </w:p>
    <w:p w:rsidR="006874A6" w:rsidRPr="006874A6" w:rsidRDefault="006874A6" w:rsidP="006874A6">
      <w:pPr>
        <w:ind w:firstLine="709"/>
        <w:jc w:val="both"/>
        <w:rPr>
          <w:sz w:val="24"/>
        </w:rPr>
      </w:pPr>
      <w:r w:rsidRPr="006874A6">
        <w:rPr>
          <w:sz w:val="24"/>
        </w:rPr>
        <w:t xml:space="preserve">У разі зміни адреси розташування точок підключення, за заявкою в </w:t>
      </w:r>
      <w:proofErr w:type="spellStart"/>
      <w:r w:rsidRPr="006874A6">
        <w:rPr>
          <w:sz w:val="24"/>
        </w:rPr>
        <w:t>Хелпдеск</w:t>
      </w:r>
      <w:proofErr w:type="spellEnd"/>
      <w:r w:rsidRPr="006874A6">
        <w:rPr>
          <w:sz w:val="24"/>
        </w:rPr>
        <w:t>-системі Замовника, Учасник за власний рахунок переносить точки підключення у вказані Замовником адреси в рамках виставлених термінів без зміни вартості надання послуг.</w:t>
      </w:r>
    </w:p>
    <w:p w:rsidR="006874A6" w:rsidRPr="006874A6" w:rsidRDefault="006874A6" w:rsidP="006874A6">
      <w:pPr>
        <w:ind w:firstLine="709"/>
        <w:jc w:val="both"/>
        <w:rPr>
          <w:sz w:val="24"/>
        </w:rPr>
      </w:pPr>
      <w:r w:rsidRPr="006874A6">
        <w:rPr>
          <w:sz w:val="24"/>
        </w:rPr>
        <w:t xml:space="preserve">У пропозиції Учасника має бути вказано перелік темних волокон, що будуть надані в </w:t>
      </w:r>
      <w:proofErr w:type="spellStart"/>
      <w:r w:rsidRPr="006874A6">
        <w:rPr>
          <w:sz w:val="24"/>
        </w:rPr>
        <w:t>аренду</w:t>
      </w:r>
      <w:proofErr w:type="spellEnd"/>
      <w:r w:rsidRPr="006874A6">
        <w:rPr>
          <w:sz w:val="24"/>
        </w:rPr>
        <w:t>, їх адреси, одиниці виміру, вартість за одиницю та загальна сума.</w:t>
      </w:r>
    </w:p>
    <w:p w:rsidR="006874A6" w:rsidRPr="006874A6" w:rsidRDefault="006874A6" w:rsidP="006874A6">
      <w:pPr>
        <w:ind w:firstLine="709"/>
        <w:jc w:val="both"/>
        <w:rPr>
          <w:sz w:val="24"/>
        </w:rPr>
      </w:pPr>
      <w:r w:rsidRPr="006874A6">
        <w:rPr>
          <w:sz w:val="24"/>
        </w:rPr>
        <w:t>Замовник має право зменшувати обсяг надання послуг відповідно до розрахунку, наданого у пропозиції.</w:t>
      </w:r>
    </w:p>
    <w:p w:rsidR="006874A6" w:rsidRPr="006874A6" w:rsidRDefault="006874A6" w:rsidP="006874A6">
      <w:pPr>
        <w:ind w:left="1" w:firstLine="708"/>
        <w:jc w:val="center"/>
        <w:rPr>
          <w:b/>
          <w:sz w:val="24"/>
        </w:rPr>
      </w:pPr>
      <w:r w:rsidRPr="006874A6">
        <w:rPr>
          <w:b/>
          <w:sz w:val="24"/>
        </w:rPr>
        <w:t>Темні волокна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62"/>
        <w:gridCol w:w="8789"/>
      </w:tblGrid>
      <w:tr w:rsidR="006874A6" w:rsidRPr="006874A6" w:rsidTr="003729FF">
        <w:trPr>
          <w:jc w:val="center"/>
        </w:trPr>
        <w:tc>
          <w:tcPr>
            <w:tcW w:w="562" w:type="dxa"/>
            <w:vAlign w:val="center"/>
            <w:hideMark/>
          </w:tcPr>
          <w:p w:rsidR="006874A6" w:rsidRPr="006874A6" w:rsidRDefault="006874A6" w:rsidP="006874A6">
            <w:pPr>
              <w:jc w:val="center"/>
              <w:rPr>
                <w:sz w:val="24"/>
              </w:rPr>
            </w:pPr>
            <w:r w:rsidRPr="006874A6">
              <w:rPr>
                <w:sz w:val="24"/>
              </w:rPr>
              <w:t>№ п/п</w:t>
            </w:r>
          </w:p>
        </w:tc>
        <w:tc>
          <w:tcPr>
            <w:tcW w:w="8789" w:type="dxa"/>
            <w:vAlign w:val="center"/>
            <w:hideMark/>
          </w:tcPr>
          <w:p w:rsidR="006874A6" w:rsidRPr="006874A6" w:rsidRDefault="006874A6" w:rsidP="006874A6">
            <w:pPr>
              <w:jc w:val="center"/>
              <w:rPr>
                <w:sz w:val="24"/>
              </w:rPr>
            </w:pPr>
            <w:r w:rsidRPr="006874A6">
              <w:rPr>
                <w:sz w:val="24"/>
              </w:rPr>
              <w:t>Найменування</w:t>
            </w:r>
          </w:p>
        </w:tc>
      </w:tr>
      <w:tr w:rsidR="006874A6" w:rsidRPr="006874A6" w:rsidTr="003729FF">
        <w:trPr>
          <w:trHeight w:val="205"/>
          <w:jc w:val="center"/>
        </w:trPr>
        <w:tc>
          <w:tcPr>
            <w:tcW w:w="562" w:type="dxa"/>
            <w:vAlign w:val="center"/>
            <w:hideMark/>
          </w:tcPr>
          <w:p w:rsidR="006874A6" w:rsidRPr="006874A6" w:rsidRDefault="006874A6" w:rsidP="006874A6">
            <w:pPr>
              <w:jc w:val="center"/>
              <w:rPr>
                <w:sz w:val="24"/>
              </w:rPr>
            </w:pPr>
            <w:r w:rsidRPr="006874A6">
              <w:rPr>
                <w:sz w:val="24"/>
              </w:rPr>
              <w:t>1.</w:t>
            </w:r>
          </w:p>
        </w:tc>
        <w:tc>
          <w:tcPr>
            <w:tcW w:w="8789" w:type="dxa"/>
            <w:vAlign w:val="center"/>
            <w:hideMark/>
          </w:tcPr>
          <w:p w:rsidR="006874A6" w:rsidRPr="006874A6" w:rsidRDefault="006874A6" w:rsidP="006874A6">
            <w:pPr>
              <w:rPr>
                <w:sz w:val="24"/>
              </w:rPr>
            </w:pPr>
            <w:r w:rsidRPr="006874A6">
              <w:rPr>
                <w:sz w:val="24"/>
              </w:rPr>
              <w:t>на ділянці між будівлями по майдану Незалежності, 2 та вул. Британській, 21</w:t>
            </w:r>
          </w:p>
        </w:tc>
      </w:tr>
      <w:tr w:rsidR="006874A6" w:rsidRPr="006874A6" w:rsidTr="003729FF">
        <w:trPr>
          <w:trHeight w:val="208"/>
          <w:jc w:val="center"/>
        </w:trPr>
        <w:tc>
          <w:tcPr>
            <w:tcW w:w="562" w:type="dxa"/>
            <w:vAlign w:val="center"/>
            <w:hideMark/>
          </w:tcPr>
          <w:p w:rsidR="006874A6" w:rsidRPr="006874A6" w:rsidRDefault="006874A6" w:rsidP="006874A6">
            <w:pPr>
              <w:jc w:val="center"/>
              <w:rPr>
                <w:sz w:val="24"/>
              </w:rPr>
            </w:pPr>
            <w:r w:rsidRPr="006874A6">
              <w:rPr>
                <w:sz w:val="24"/>
              </w:rPr>
              <w:t>2.</w:t>
            </w:r>
          </w:p>
        </w:tc>
        <w:tc>
          <w:tcPr>
            <w:tcW w:w="8789" w:type="dxa"/>
            <w:vAlign w:val="center"/>
            <w:hideMark/>
          </w:tcPr>
          <w:p w:rsidR="006874A6" w:rsidRPr="006874A6" w:rsidRDefault="006874A6" w:rsidP="006874A6">
            <w:pPr>
              <w:rPr>
                <w:sz w:val="24"/>
              </w:rPr>
            </w:pPr>
            <w:r w:rsidRPr="006874A6">
              <w:rPr>
                <w:sz w:val="24"/>
              </w:rPr>
              <w:t>на ділянці між будівлями по майдану Незалежності, 2 та вул. Бельгійській, 2</w:t>
            </w:r>
          </w:p>
        </w:tc>
      </w:tr>
      <w:tr w:rsidR="006874A6" w:rsidRPr="006874A6" w:rsidTr="003729FF">
        <w:trPr>
          <w:trHeight w:val="199"/>
          <w:jc w:val="center"/>
        </w:trPr>
        <w:tc>
          <w:tcPr>
            <w:tcW w:w="562" w:type="dxa"/>
            <w:vAlign w:val="center"/>
            <w:hideMark/>
          </w:tcPr>
          <w:p w:rsidR="006874A6" w:rsidRPr="006874A6" w:rsidRDefault="006874A6" w:rsidP="006874A6">
            <w:pPr>
              <w:jc w:val="center"/>
              <w:rPr>
                <w:sz w:val="24"/>
              </w:rPr>
            </w:pPr>
            <w:r w:rsidRPr="006874A6">
              <w:rPr>
                <w:sz w:val="24"/>
              </w:rPr>
              <w:t>3.</w:t>
            </w:r>
          </w:p>
        </w:tc>
        <w:tc>
          <w:tcPr>
            <w:tcW w:w="8789" w:type="dxa"/>
            <w:vAlign w:val="center"/>
            <w:hideMark/>
          </w:tcPr>
          <w:p w:rsidR="006874A6" w:rsidRPr="006874A6" w:rsidRDefault="006874A6" w:rsidP="006874A6">
            <w:pPr>
              <w:rPr>
                <w:sz w:val="24"/>
              </w:rPr>
            </w:pPr>
            <w:r w:rsidRPr="006874A6">
              <w:rPr>
                <w:sz w:val="24"/>
              </w:rPr>
              <w:t>на ділянці між будівлями по майдану Незалежності, 2 та вул. Воскресенській, 8</w:t>
            </w:r>
          </w:p>
        </w:tc>
      </w:tr>
      <w:tr w:rsidR="006874A6" w:rsidRPr="006874A6" w:rsidTr="003729FF">
        <w:trPr>
          <w:trHeight w:val="203"/>
          <w:jc w:val="center"/>
        </w:trPr>
        <w:tc>
          <w:tcPr>
            <w:tcW w:w="562" w:type="dxa"/>
            <w:vAlign w:val="center"/>
            <w:hideMark/>
          </w:tcPr>
          <w:p w:rsidR="006874A6" w:rsidRPr="006874A6" w:rsidRDefault="006874A6" w:rsidP="006874A6">
            <w:pPr>
              <w:jc w:val="center"/>
              <w:rPr>
                <w:sz w:val="24"/>
              </w:rPr>
            </w:pPr>
            <w:r w:rsidRPr="006874A6">
              <w:rPr>
                <w:sz w:val="24"/>
              </w:rPr>
              <w:t>4.</w:t>
            </w:r>
          </w:p>
        </w:tc>
        <w:tc>
          <w:tcPr>
            <w:tcW w:w="8789" w:type="dxa"/>
            <w:vAlign w:val="center"/>
            <w:hideMark/>
          </w:tcPr>
          <w:p w:rsidR="006874A6" w:rsidRPr="006874A6" w:rsidRDefault="006874A6" w:rsidP="006874A6">
            <w:pPr>
              <w:rPr>
                <w:sz w:val="24"/>
              </w:rPr>
            </w:pPr>
            <w:r w:rsidRPr="006874A6">
              <w:rPr>
                <w:sz w:val="24"/>
              </w:rPr>
              <w:t>на ділянці між будівлями по майдану Незалежності, 2 та вул. Садовій, 33</w:t>
            </w:r>
          </w:p>
        </w:tc>
      </w:tr>
      <w:tr w:rsidR="006874A6" w:rsidRPr="006874A6" w:rsidTr="003729FF">
        <w:trPr>
          <w:trHeight w:val="193"/>
          <w:jc w:val="center"/>
        </w:trPr>
        <w:tc>
          <w:tcPr>
            <w:tcW w:w="562" w:type="dxa"/>
            <w:vAlign w:val="center"/>
            <w:hideMark/>
          </w:tcPr>
          <w:p w:rsidR="006874A6" w:rsidRPr="006874A6" w:rsidRDefault="006874A6" w:rsidP="006874A6">
            <w:pPr>
              <w:jc w:val="center"/>
              <w:rPr>
                <w:sz w:val="24"/>
              </w:rPr>
            </w:pPr>
            <w:r w:rsidRPr="006874A6">
              <w:rPr>
                <w:sz w:val="24"/>
              </w:rPr>
              <w:t>5.</w:t>
            </w:r>
          </w:p>
        </w:tc>
        <w:tc>
          <w:tcPr>
            <w:tcW w:w="8789" w:type="dxa"/>
            <w:vAlign w:val="center"/>
            <w:hideMark/>
          </w:tcPr>
          <w:p w:rsidR="006874A6" w:rsidRPr="006874A6" w:rsidRDefault="006874A6" w:rsidP="006874A6">
            <w:pPr>
              <w:rPr>
                <w:sz w:val="24"/>
              </w:rPr>
            </w:pPr>
            <w:r w:rsidRPr="006874A6">
              <w:rPr>
                <w:sz w:val="24"/>
              </w:rPr>
              <w:t>на ділянці між будівлями по майдану Незалежності, 2 та площі Покровській, 2</w:t>
            </w:r>
          </w:p>
        </w:tc>
      </w:tr>
      <w:tr w:rsidR="006874A6" w:rsidRPr="006874A6" w:rsidTr="003729FF">
        <w:trPr>
          <w:trHeight w:val="539"/>
          <w:jc w:val="center"/>
        </w:trPr>
        <w:tc>
          <w:tcPr>
            <w:tcW w:w="562" w:type="dxa"/>
            <w:vAlign w:val="center"/>
            <w:hideMark/>
          </w:tcPr>
          <w:p w:rsidR="006874A6" w:rsidRPr="006874A6" w:rsidRDefault="006874A6" w:rsidP="006874A6">
            <w:pPr>
              <w:jc w:val="center"/>
              <w:rPr>
                <w:sz w:val="24"/>
              </w:rPr>
            </w:pPr>
            <w:r w:rsidRPr="006874A6">
              <w:rPr>
                <w:sz w:val="24"/>
              </w:rPr>
              <w:t>6.</w:t>
            </w:r>
          </w:p>
        </w:tc>
        <w:tc>
          <w:tcPr>
            <w:tcW w:w="8789" w:type="dxa"/>
            <w:vAlign w:val="center"/>
            <w:hideMark/>
          </w:tcPr>
          <w:p w:rsidR="006874A6" w:rsidRPr="006874A6" w:rsidRDefault="006874A6" w:rsidP="006874A6">
            <w:pPr>
              <w:rPr>
                <w:sz w:val="24"/>
              </w:rPr>
            </w:pPr>
            <w:r w:rsidRPr="006874A6">
              <w:rPr>
                <w:sz w:val="24"/>
              </w:rPr>
              <w:t>на ділянці між будівлями по вул. Харківська 35 та вул. Харківська, 41 або по майдану Незалежності, 2 та вул. Харківська, 41</w:t>
            </w:r>
          </w:p>
        </w:tc>
      </w:tr>
      <w:tr w:rsidR="006874A6" w:rsidRPr="006874A6" w:rsidTr="003729FF">
        <w:trPr>
          <w:trHeight w:val="49"/>
          <w:jc w:val="center"/>
        </w:trPr>
        <w:tc>
          <w:tcPr>
            <w:tcW w:w="562" w:type="dxa"/>
            <w:vAlign w:val="center"/>
            <w:hideMark/>
          </w:tcPr>
          <w:p w:rsidR="006874A6" w:rsidRPr="006874A6" w:rsidRDefault="006874A6" w:rsidP="006874A6">
            <w:pPr>
              <w:jc w:val="center"/>
              <w:rPr>
                <w:sz w:val="24"/>
              </w:rPr>
            </w:pPr>
            <w:r w:rsidRPr="006874A6">
              <w:rPr>
                <w:sz w:val="24"/>
              </w:rPr>
              <w:t>7.</w:t>
            </w:r>
          </w:p>
        </w:tc>
        <w:tc>
          <w:tcPr>
            <w:tcW w:w="8789" w:type="dxa"/>
            <w:vAlign w:val="center"/>
            <w:hideMark/>
          </w:tcPr>
          <w:p w:rsidR="006874A6" w:rsidRPr="006874A6" w:rsidRDefault="006874A6" w:rsidP="006874A6">
            <w:pPr>
              <w:rPr>
                <w:sz w:val="24"/>
              </w:rPr>
            </w:pPr>
            <w:r w:rsidRPr="006874A6">
              <w:rPr>
                <w:sz w:val="24"/>
              </w:rPr>
              <w:t xml:space="preserve">на ділянці між будівлями по вул. Британська, 21 та вул. Романа </w:t>
            </w:r>
            <w:proofErr w:type="spellStart"/>
            <w:r w:rsidRPr="006874A6">
              <w:rPr>
                <w:sz w:val="24"/>
              </w:rPr>
              <w:t>Атаманюка</w:t>
            </w:r>
            <w:proofErr w:type="spellEnd"/>
            <w:r w:rsidRPr="006874A6">
              <w:rPr>
                <w:sz w:val="24"/>
              </w:rPr>
              <w:t>, 49А</w:t>
            </w:r>
          </w:p>
        </w:tc>
      </w:tr>
      <w:tr w:rsidR="006874A6" w:rsidRPr="006874A6" w:rsidTr="003729FF">
        <w:trPr>
          <w:trHeight w:val="53"/>
          <w:jc w:val="center"/>
        </w:trPr>
        <w:tc>
          <w:tcPr>
            <w:tcW w:w="562" w:type="dxa"/>
            <w:vAlign w:val="center"/>
            <w:hideMark/>
          </w:tcPr>
          <w:p w:rsidR="006874A6" w:rsidRPr="006874A6" w:rsidRDefault="006874A6" w:rsidP="006874A6">
            <w:pPr>
              <w:jc w:val="center"/>
              <w:rPr>
                <w:sz w:val="24"/>
              </w:rPr>
            </w:pPr>
            <w:r w:rsidRPr="006874A6">
              <w:rPr>
                <w:sz w:val="24"/>
              </w:rPr>
              <w:t>8.</w:t>
            </w:r>
          </w:p>
        </w:tc>
        <w:tc>
          <w:tcPr>
            <w:tcW w:w="8789" w:type="dxa"/>
            <w:vAlign w:val="center"/>
            <w:hideMark/>
          </w:tcPr>
          <w:p w:rsidR="006874A6" w:rsidRPr="006874A6" w:rsidRDefault="006874A6" w:rsidP="006874A6">
            <w:pPr>
              <w:rPr>
                <w:sz w:val="24"/>
              </w:rPr>
            </w:pPr>
            <w:r w:rsidRPr="006874A6">
              <w:rPr>
                <w:sz w:val="24"/>
              </w:rPr>
              <w:t>на ділянці між будівлям</w:t>
            </w:r>
            <w:r w:rsidR="00005B35">
              <w:rPr>
                <w:sz w:val="24"/>
              </w:rPr>
              <w:t>и по вул. Британська, 21 та с.</w:t>
            </w:r>
            <w:r w:rsidRPr="006874A6">
              <w:rPr>
                <w:sz w:val="24"/>
              </w:rPr>
              <w:t xml:space="preserve"> Піщане, вул. Шкільна, 41</w:t>
            </w:r>
          </w:p>
        </w:tc>
      </w:tr>
      <w:tr w:rsidR="006874A6" w:rsidRPr="006874A6" w:rsidTr="003729FF">
        <w:trPr>
          <w:trHeight w:val="53"/>
          <w:jc w:val="center"/>
        </w:trPr>
        <w:tc>
          <w:tcPr>
            <w:tcW w:w="562" w:type="dxa"/>
            <w:vAlign w:val="center"/>
          </w:tcPr>
          <w:p w:rsidR="006874A6" w:rsidRPr="006874A6" w:rsidRDefault="006874A6" w:rsidP="006874A6">
            <w:pPr>
              <w:jc w:val="center"/>
              <w:rPr>
                <w:sz w:val="24"/>
              </w:rPr>
            </w:pPr>
            <w:r w:rsidRPr="00005B35">
              <w:rPr>
                <w:sz w:val="24"/>
                <w:lang w:val="ru-RU"/>
              </w:rPr>
              <w:t>9</w:t>
            </w:r>
            <w:r w:rsidRPr="006874A6">
              <w:rPr>
                <w:sz w:val="24"/>
              </w:rPr>
              <w:t>.</w:t>
            </w:r>
          </w:p>
        </w:tc>
        <w:tc>
          <w:tcPr>
            <w:tcW w:w="8789" w:type="dxa"/>
            <w:vAlign w:val="center"/>
          </w:tcPr>
          <w:p w:rsidR="006874A6" w:rsidRPr="006874A6" w:rsidRDefault="006874A6" w:rsidP="006874A6">
            <w:pPr>
              <w:rPr>
                <w:sz w:val="24"/>
              </w:rPr>
            </w:pPr>
            <w:r w:rsidRPr="006874A6">
              <w:rPr>
                <w:sz w:val="24"/>
              </w:rPr>
              <w:t>на ділянці між будівлями по вул. Британська, 21 та вул. Герасима Кондратьєва, 165/71</w:t>
            </w:r>
          </w:p>
        </w:tc>
      </w:tr>
      <w:tr w:rsidR="006874A6" w:rsidRPr="006874A6" w:rsidTr="003729FF">
        <w:trPr>
          <w:trHeight w:val="53"/>
          <w:jc w:val="center"/>
        </w:trPr>
        <w:tc>
          <w:tcPr>
            <w:tcW w:w="562" w:type="dxa"/>
            <w:vAlign w:val="center"/>
          </w:tcPr>
          <w:p w:rsidR="006874A6" w:rsidRPr="006874A6" w:rsidRDefault="006874A6" w:rsidP="006874A6">
            <w:pPr>
              <w:jc w:val="center"/>
              <w:rPr>
                <w:sz w:val="24"/>
              </w:rPr>
            </w:pPr>
            <w:r w:rsidRPr="006874A6">
              <w:rPr>
                <w:sz w:val="24"/>
              </w:rPr>
              <w:lastRenderedPageBreak/>
              <w:t>10.</w:t>
            </w:r>
          </w:p>
        </w:tc>
        <w:tc>
          <w:tcPr>
            <w:tcW w:w="8789" w:type="dxa"/>
            <w:vAlign w:val="center"/>
          </w:tcPr>
          <w:p w:rsidR="006874A6" w:rsidRPr="006874A6" w:rsidRDefault="006874A6" w:rsidP="006874A6">
            <w:pPr>
              <w:rPr>
                <w:sz w:val="24"/>
              </w:rPr>
            </w:pPr>
            <w:r w:rsidRPr="006874A6">
              <w:rPr>
                <w:sz w:val="24"/>
              </w:rPr>
              <w:t>на ділянці між будівлями по майдану Незалежності, 2 та с. Пушкарівка, вул. Шкільна,</w:t>
            </w:r>
            <w:r w:rsidRPr="006874A6">
              <w:rPr>
                <w:sz w:val="24"/>
                <w:lang w:val="en-US"/>
              </w:rPr>
              <w:t xml:space="preserve"> 1</w:t>
            </w:r>
            <w:r w:rsidRPr="006874A6">
              <w:rPr>
                <w:sz w:val="24"/>
              </w:rPr>
              <w:t>А</w:t>
            </w:r>
          </w:p>
        </w:tc>
      </w:tr>
      <w:tr w:rsidR="006874A6" w:rsidRPr="006874A6" w:rsidTr="003729FF">
        <w:trPr>
          <w:trHeight w:val="53"/>
          <w:jc w:val="center"/>
        </w:trPr>
        <w:tc>
          <w:tcPr>
            <w:tcW w:w="562" w:type="dxa"/>
            <w:vAlign w:val="center"/>
          </w:tcPr>
          <w:p w:rsidR="006874A6" w:rsidRPr="006874A6" w:rsidRDefault="006874A6" w:rsidP="006874A6">
            <w:pPr>
              <w:jc w:val="center"/>
              <w:rPr>
                <w:sz w:val="24"/>
              </w:rPr>
            </w:pPr>
            <w:r w:rsidRPr="006874A6">
              <w:rPr>
                <w:sz w:val="24"/>
              </w:rPr>
              <w:t>11.</w:t>
            </w:r>
          </w:p>
        </w:tc>
        <w:tc>
          <w:tcPr>
            <w:tcW w:w="8789" w:type="dxa"/>
            <w:vAlign w:val="center"/>
          </w:tcPr>
          <w:p w:rsidR="006874A6" w:rsidRPr="006874A6" w:rsidRDefault="006874A6" w:rsidP="006874A6">
            <w:pPr>
              <w:rPr>
                <w:sz w:val="24"/>
              </w:rPr>
            </w:pPr>
            <w:r w:rsidRPr="006874A6">
              <w:rPr>
                <w:sz w:val="24"/>
              </w:rPr>
              <w:t xml:space="preserve">на ділянці між будівлями по майдану Незалежності, 2 та с. В. Чернеччина, </w:t>
            </w:r>
            <w:proofErr w:type="spellStart"/>
            <w:r w:rsidRPr="006874A6">
              <w:rPr>
                <w:sz w:val="24"/>
              </w:rPr>
              <w:t>провул</w:t>
            </w:r>
            <w:proofErr w:type="spellEnd"/>
            <w:r w:rsidRPr="006874A6">
              <w:rPr>
                <w:sz w:val="24"/>
              </w:rPr>
              <w:t>. Сагайдачного, 4</w:t>
            </w:r>
          </w:p>
        </w:tc>
      </w:tr>
      <w:tr w:rsidR="006874A6" w:rsidRPr="006874A6" w:rsidTr="003729FF">
        <w:trPr>
          <w:trHeight w:val="53"/>
          <w:jc w:val="center"/>
        </w:trPr>
        <w:tc>
          <w:tcPr>
            <w:tcW w:w="562" w:type="dxa"/>
            <w:vAlign w:val="center"/>
          </w:tcPr>
          <w:p w:rsidR="006874A6" w:rsidRPr="006874A6" w:rsidRDefault="006874A6" w:rsidP="006874A6">
            <w:pPr>
              <w:jc w:val="center"/>
              <w:rPr>
                <w:sz w:val="24"/>
              </w:rPr>
            </w:pPr>
            <w:r w:rsidRPr="006874A6">
              <w:rPr>
                <w:sz w:val="24"/>
              </w:rPr>
              <w:t>12.</w:t>
            </w:r>
          </w:p>
        </w:tc>
        <w:tc>
          <w:tcPr>
            <w:tcW w:w="8789" w:type="dxa"/>
            <w:vAlign w:val="center"/>
          </w:tcPr>
          <w:p w:rsidR="006874A6" w:rsidRPr="006874A6" w:rsidRDefault="006874A6" w:rsidP="006874A6">
            <w:pPr>
              <w:rPr>
                <w:sz w:val="24"/>
              </w:rPr>
            </w:pPr>
            <w:r w:rsidRPr="006874A6">
              <w:rPr>
                <w:sz w:val="24"/>
              </w:rPr>
              <w:t>на ділянці між будівлями по майдану Незалежності, 2 та с. Стецьківка, вул. Сумська, 20</w:t>
            </w:r>
          </w:p>
        </w:tc>
      </w:tr>
      <w:tr w:rsidR="006874A6" w:rsidRPr="006874A6" w:rsidTr="003729FF">
        <w:trPr>
          <w:trHeight w:val="53"/>
          <w:jc w:val="center"/>
        </w:trPr>
        <w:tc>
          <w:tcPr>
            <w:tcW w:w="562" w:type="dxa"/>
            <w:vAlign w:val="center"/>
          </w:tcPr>
          <w:p w:rsidR="006874A6" w:rsidRPr="006874A6" w:rsidRDefault="006874A6" w:rsidP="006874A6">
            <w:pPr>
              <w:jc w:val="center"/>
              <w:rPr>
                <w:sz w:val="24"/>
              </w:rPr>
            </w:pPr>
            <w:r w:rsidRPr="006874A6">
              <w:rPr>
                <w:sz w:val="24"/>
              </w:rPr>
              <w:t>13.</w:t>
            </w:r>
          </w:p>
        </w:tc>
        <w:tc>
          <w:tcPr>
            <w:tcW w:w="8789" w:type="dxa"/>
            <w:vAlign w:val="center"/>
          </w:tcPr>
          <w:p w:rsidR="006874A6" w:rsidRPr="006874A6" w:rsidRDefault="006874A6" w:rsidP="006874A6">
            <w:pPr>
              <w:rPr>
                <w:sz w:val="24"/>
              </w:rPr>
            </w:pPr>
            <w:r w:rsidRPr="006874A6">
              <w:rPr>
                <w:sz w:val="24"/>
              </w:rPr>
              <w:t xml:space="preserve">на ділянці між будівлями по вул. Британська, 21 та вул. </w:t>
            </w:r>
            <w:proofErr w:type="spellStart"/>
            <w:r w:rsidRPr="006874A6">
              <w:rPr>
                <w:sz w:val="24"/>
              </w:rPr>
              <w:t>Н.Холодногірська</w:t>
            </w:r>
            <w:proofErr w:type="spellEnd"/>
            <w:r w:rsidRPr="006874A6">
              <w:rPr>
                <w:sz w:val="24"/>
              </w:rPr>
              <w:t>, 8</w:t>
            </w:r>
          </w:p>
        </w:tc>
      </w:tr>
      <w:tr w:rsidR="006874A6" w:rsidRPr="006874A6" w:rsidTr="003729FF">
        <w:trPr>
          <w:trHeight w:val="53"/>
          <w:jc w:val="center"/>
        </w:trPr>
        <w:tc>
          <w:tcPr>
            <w:tcW w:w="562" w:type="dxa"/>
            <w:vAlign w:val="center"/>
          </w:tcPr>
          <w:p w:rsidR="006874A6" w:rsidRPr="006874A6" w:rsidRDefault="006874A6" w:rsidP="006874A6">
            <w:pPr>
              <w:jc w:val="center"/>
              <w:rPr>
                <w:sz w:val="24"/>
              </w:rPr>
            </w:pPr>
            <w:r w:rsidRPr="006874A6">
              <w:rPr>
                <w:sz w:val="24"/>
              </w:rPr>
              <w:t>14.</w:t>
            </w:r>
          </w:p>
        </w:tc>
        <w:tc>
          <w:tcPr>
            <w:tcW w:w="8789" w:type="dxa"/>
            <w:vAlign w:val="center"/>
          </w:tcPr>
          <w:p w:rsidR="006874A6" w:rsidRPr="006874A6" w:rsidRDefault="006874A6" w:rsidP="006874A6">
            <w:pPr>
              <w:rPr>
                <w:sz w:val="24"/>
              </w:rPr>
            </w:pPr>
            <w:r w:rsidRPr="006874A6">
              <w:rPr>
                <w:sz w:val="24"/>
              </w:rPr>
              <w:t>Резервний канал</w:t>
            </w:r>
          </w:p>
        </w:tc>
      </w:tr>
      <w:tr w:rsidR="006874A6" w:rsidRPr="006874A6" w:rsidTr="003729FF">
        <w:trPr>
          <w:trHeight w:val="53"/>
          <w:jc w:val="center"/>
        </w:trPr>
        <w:tc>
          <w:tcPr>
            <w:tcW w:w="562" w:type="dxa"/>
            <w:vAlign w:val="center"/>
          </w:tcPr>
          <w:p w:rsidR="006874A6" w:rsidRPr="006874A6" w:rsidRDefault="006874A6" w:rsidP="006874A6">
            <w:pPr>
              <w:jc w:val="center"/>
              <w:rPr>
                <w:sz w:val="24"/>
              </w:rPr>
            </w:pPr>
            <w:r w:rsidRPr="006874A6">
              <w:rPr>
                <w:sz w:val="24"/>
              </w:rPr>
              <w:t>15.</w:t>
            </w:r>
          </w:p>
        </w:tc>
        <w:tc>
          <w:tcPr>
            <w:tcW w:w="8789" w:type="dxa"/>
            <w:vAlign w:val="center"/>
          </w:tcPr>
          <w:p w:rsidR="006874A6" w:rsidRPr="006874A6" w:rsidRDefault="006874A6" w:rsidP="006874A6">
            <w:pPr>
              <w:rPr>
                <w:sz w:val="24"/>
              </w:rPr>
            </w:pPr>
            <w:r w:rsidRPr="006874A6">
              <w:rPr>
                <w:sz w:val="24"/>
              </w:rPr>
              <w:t>Резервний канал</w:t>
            </w:r>
          </w:p>
        </w:tc>
      </w:tr>
    </w:tbl>
    <w:p w:rsidR="006874A6" w:rsidRDefault="006874A6" w:rsidP="006874A6">
      <w:pPr>
        <w:ind w:firstLine="567"/>
        <w:jc w:val="both"/>
        <w:rPr>
          <w:sz w:val="24"/>
        </w:rPr>
      </w:pPr>
    </w:p>
    <w:p w:rsidR="007D289C" w:rsidRDefault="007D289C" w:rsidP="006874A6">
      <w:pPr>
        <w:ind w:firstLine="567"/>
        <w:jc w:val="both"/>
        <w:rPr>
          <w:sz w:val="24"/>
        </w:rPr>
      </w:pPr>
    </w:p>
    <w:p w:rsidR="007D289C" w:rsidRPr="006874A6" w:rsidRDefault="007D289C" w:rsidP="006874A6">
      <w:pPr>
        <w:ind w:firstLine="567"/>
        <w:jc w:val="both"/>
        <w:rPr>
          <w:sz w:val="24"/>
        </w:rPr>
      </w:pPr>
    </w:p>
    <w:p w:rsidR="007D289C" w:rsidRPr="006D5C22" w:rsidRDefault="007D289C" w:rsidP="007D289C">
      <w:pPr>
        <w:ind w:firstLine="567"/>
        <w:rPr>
          <w:b/>
          <w:sz w:val="24"/>
        </w:rPr>
      </w:pPr>
      <w:r w:rsidRPr="006D5C22">
        <w:rPr>
          <w:b/>
          <w:sz w:val="24"/>
        </w:rPr>
        <w:t>Основні вимоги до Виконавця:</w:t>
      </w:r>
    </w:p>
    <w:p w:rsidR="007D289C" w:rsidRPr="006D5C22" w:rsidRDefault="007D289C" w:rsidP="007D289C">
      <w:pPr>
        <w:ind w:firstLine="567"/>
        <w:rPr>
          <w:i/>
          <w:sz w:val="24"/>
        </w:rPr>
      </w:pPr>
      <w:r w:rsidRPr="006D5C22">
        <w:rPr>
          <w:i/>
          <w:sz w:val="24"/>
        </w:rPr>
        <w:t>Учасник повинен мати:</w:t>
      </w:r>
    </w:p>
    <w:p w:rsidR="007D289C" w:rsidRPr="006D5C22" w:rsidRDefault="007D289C" w:rsidP="007D289C">
      <w:pPr>
        <w:numPr>
          <w:ilvl w:val="0"/>
          <w:numId w:val="4"/>
        </w:numPr>
        <w:suppressAutoHyphens/>
        <w:ind w:left="284" w:firstLine="284"/>
        <w:contextualSpacing/>
        <w:jc w:val="both"/>
        <w:rPr>
          <w:i/>
          <w:sz w:val="24"/>
        </w:rPr>
      </w:pPr>
      <w:r w:rsidRPr="006D5C22">
        <w:rPr>
          <w:i/>
          <w:sz w:val="24"/>
        </w:rPr>
        <w:t>досвід реалізації аналогічних договорів із надання доступу до мережі Інтернет на надання в оренду каналів зв’язку у вигляді темних волокон;</w:t>
      </w:r>
    </w:p>
    <w:p w:rsidR="007D289C" w:rsidRPr="006D5C22" w:rsidRDefault="007D289C" w:rsidP="007D289C">
      <w:pPr>
        <w:numPr>
          <w:ilvl w:val="0"/>
          <w:numId w:val="4"/>
        </w:numPr>
        <w:suppressAutoHyphens/>
        <w:spacing w:after="160" w:line="259" w:lineRule="auto"/>
        <w:ind w:left="284" w:firstLine="283"/>
        <w:contextualSpacing/>
        <w:jc w:val="both"/>
        <w:rPr>
          <w:i/>
          <w:sz w:val="24"/>
        </w:rPr>
      </w:pPr>
      <w:r w:rsidRPr="006D5C22">
        <w:rPr>
          <w:i/>
          <w:color w:val="000000"/>
          <w:sz w:val="24"/>
          <w:shd w:val="clear" w:color="auto" w:fill="FFFFFF"/>
        </w:rPr>
        <w:t>атестат відповідності (копія атестата відповідності) виданий Державною службою спеціального зв’язку, який засвідчує, що комплексна система захисту інформації учасника процедури закупівлі забезпечує захист інформації відповідно до вимог нормативних документів системи технічного захисту інформації в Україні;</w:t>
      </w:r>
    </w:p>
    <w:p w:rsidR="007D289C" w:rsidRPr="006D5C22" w:rsidRDefault="007D289C" w:rsidP="007D289C">
      <w:pPr>
        <w:numPr>
          <w:ilvl w:val="0"/>
          <w:numId w:val="4"/>
        </w:numPr>
        <w:suppressAutoHyphens/>
        <w:spacing w:after="160" w:line="259" w:lineRule="auto"/>
        <w:ind w:left="284" w:firstLine="283"/>
        <w:contextualSpacing/>
        <w:jc w:val="both"/>
        <w:rPr>
          <w:i/>
          <w:sz w:val="24"/>
        </w:rPr>
      </w:pPr>
      <w:r w:rsidRPr="006D5C22">
        <w:rPr>
          <w:i/>
          <w:color w:val="000000"/>
          <w:sz w:val="24"/>
          <w:shd w:val="clear" w:color="auto" w:fill="FFFFFF"/>
        </w:rPr>
        <w:t>ліцензі</w:t>
      </w:r>
      <w:r>
        <w:rPr>
          <w:i/>
          <w:color w:val="000000"/>
          <w:sz w:val="24"/>
          <w:shd w:val="clear" w:color="auto" w:fill="FFFFFF"/>
        </w:rPr>
        <w:t>ю</w:t>
      </w:r>
      <w:r w:rsidRPr="006D5C22">
        <w:rPr>
          <w:i/>
          <w:color w:val="000000"/>
          <w:sz w:val="24"/>
          <w:shd w:val="clear" w:color="auto" w:fill="FFFFFF"/>
        </w:rPr>
        <w:t xml:space="preserve"> Національної комісії, що здійснює державне регулювання у сфері зв’язку та інформатизації України на надання послуг з технічного обслуговування і експлуатації телекомунікаційних мереж або документ про її надання;</w:t>
      </w:r>
    </w:p>
    <w:p w:rsidR="006C567B" w:rsidRPr="006C567B" w:rsidRDefault="007D289C" w:rsidP="007D289C">
      <w:pPr>
        <w:numPr>
          <w:ilvl w:val="0"/>
          <w:numId w:val="4"/>
        </w:numPr>
        <w:suppressAutoHyphens/>
        <w:spacing w:after="160" w:line="259" w:lineRule="auto"/>
        <w:ind w:left="284" w:firstLine="283"/>
        <w:contextualSpacing/>
        <w:jc w:val="both"/>
        <w:rPr>
          <w:i/>
          <w:sz w:val="24"/>
        </w:rPr>
      </w:pPr>
      <w:r>
        <w:rPr>
          <w:i/>
          <w:color w:val="000000"/>
          <w:sz w:val="24"/>
          <w:shd w:val="clear" w:color="auto" w:fill="FFFFFF"/>
        </w:rPr>
        <w:t xml:space="preserve"> документи</w:t>
      </w:r>
      <w:r w:rsidRPr="006D5C22">
        <w:rPr>
          <w:i/>
          <w:color w:val="000000"/>
          <w:sz w:val="24"/>
          <w:shd w:val="clear" w:color="auto" w:fill="FFFFFF"/>
        </w:rPr>
        <w:t>, які підтверджують включення Учасника до реєстру постачальників електронних комунікаційних мереж та/або послуг відповідно до вимог Закону України «Про електронні комунікації» у порядку, запровадженому рішенням Національної комісії, що здійснює державне регулювання у сферах електронних комунікацій, радіочастотного спектра та надання послуг поштового зв'язку від 20.04.2022 № 30</w:t>
      </w:r>
      <w:r w:rsidR="006C567B">
        <w:rPr>
          <w:i/>
          <w:color w:val="000000"/>
          <w:sz w:val="24"/>
          <w:shd w:val="clear" w:color="auto" w:fill="FFFFFF"/>
        </w:rPr>
        <w:t>;</w:t>
      </w:r>
    </w:p>
    <w:p w:rsidR="007D289C" w:rsidRPr="006D5C22" w:rsidRDefault="006C567B" w:rsidP="006C567B">
      <w:pPr>
        <w:numPr>
          <w:ilvl w:val="0"/>
          <w:numId w:val="4"/>
        </w:numPr>
        <w:suppressAutoHyphens/>
        <w:spacing w:after="160" w:line="259" w:lineRule="auto"/>
        <w:ind w:left="284" w:firstLine="283"/>
        <w:contextualSpacing/>
        <w:jc w:val="both"/>
        <w:rPr>
          <w:i/>
          <w:sz w:val="24"/>
        </w:rPr>
      </w:pPr>
      <w:r>
        <w:rPr>
          <w:i/>
          <w:color w:val="000000"/>
          <w:sz w:val="24"/>
          <w:shd w:val="clear" w:color="auto" w:fill="FFFFFF"/>
        </w:rPr>
        <w:t>л</w:t>
      </w:r>
      <w:r w:rsidRPr="006C567B">
        <w:rPr>
          <w:i/>
          <w:color w:val="000000"/>
          <w:sz w:val="24"/>
          <w:shd w:val="clear" w:color="auto" w:fill="FFFFFF"/>
        </w:rPr>
        <w:t>іцензі</w:t>
      </w:r>
      <w:r>
        <w:rPr>
          <w:i/>
          <w:color w:val="000000"/>
          <w:sz w:val="24"/>
          <w:shd w:val="clear" w:color="auto" w:fill="FFFFFF"/>
        </w:rPr>
        <w:t>ю</w:t>
      </w:r>
      <w:r w:rsidRPr="006C567B">
        <w:rPr>
          <w:i/>
          <w:color w:val="000000"/>
          <w:sz w:val="24"/>
          <w:shd w:val="clear" w:color="auto" w:fill="FFFFFF"/>
        </w:rPr>
        <w:t xml:space="preserve"> на надання в користування каналів електрозв'язку для приєднання мереж об’єкту до комп’ютерної мережі Сумської міської ради.</w:t>
      </w:r>
    </w:p>
    <w:p w:rsidR="006874A6" w:rsidRDefault="006C567B" w:rsidP="006874A6">
      <w:pPr>
        <w:ind w:firstLine="567"/>
        <w:jc w:val="both"/>
        <w:rPr>
          <w:sz w:val="24"/>
        </w:rPr>
      </w:pPr>
      <w:r>
        <w:rPr>
          <w:sz w:val="24"/>
        </w:rPr>
        <w:t>Для підтвердження надати копії відповідних документів.</w:t>
      </w:r>
    </w:p>
    <w:p w:rsidR="006C567B" w:rsidRPr="006874A6" w:rsidRDefault="006C567B" w:rsidP="006874A6">
      <w:pPr>
        <w:ind w:firstLine="567"/>
        <w:jc w:val="both"/>
        <w:rPr>
          <w:sz w:val="24"/>
        </w:rPr>
      </w:pPr>
    </w:p>
    <w:p w:rsidR="006874A6" w:rsidRPr="006874A6" w:rsidRDefault="006874A6" w:rsidP="006874A6">
      <w:pPr>
        <w:ind w:firstLine="567"/>
        <w:jc w:val="both"/>
        <w:rPr>
          <w:sz w:val="24"/>
        </w:rPr>
      </w:pPr>
      <w:r w:rsidRPr="006874A6">
        <w:rPr>
          <w:b/>
          <w:sz w:val="24"/>
        </w:rPr>
        <w:t xml:space="preserve">До уваги учасників: </w:t>
      </w:r>
      <w:r w:rsidRPr="006874A6">
        <w:rPr>
          <w:sz w:val="24"/>
        </w:rPr>
        <w:t>Вважати зазначені у технічному завданні посилання на конкретні торгівельну марку чи фірму, патент, конструкцію або тип предмета закупівлі, джерело його походження або виробника такими, що містять вираз «або еквівалент».</w:t>
      </w:r>
    </w:p>
    <w:p w:rsidR="006874A6" w:rsidRPr="006874A6" w:rsidRDefault="006874A6" w:rsidP="006874A6">
      <w:pPr>
        <w:ind w:firstLine="567"/>
        <w:jc w:val="both"/>
        <w:rPr>
          <w:sz w:val="24"/>
        </w:rPr>
      </w:pPr>
      <w:r w:rsidRPr="006874A6">
        <w:rPr>
          <w:sz w:val="24"/>
          <w:lang w:eastAsia="uk-UA"/>
        </w:rPr>
        <w:t>Технічні, якісні характеристики предмета закупівлі повинні передбачати необхідність застосування заходів із захисту довкілля.</w:t>
      </w:r>
    </w:p>
    <w:p w:rsidR="006874A6" w:rsidRPr="006874A6" w:rsidRDefault="006874A6" w:rsidP="006874A6">
      <w:pPr>
        <w:suppressAutoHyphens/>
        <w:jc w:val="center"/>
        <w:rPr>
          <w:kern w:val="2"/>
          <w:sz w:val="24"/>
          <w:lang w:eastAsia="ar-SA"/>
        </w:rPr>
      </w:pPr>
    </w:p>
    <w:p w:rsidR="006874A6" w:rsidRPr="006874A6" w:rsidRDefault="006874A6" w:rsidP="006874A6">
      <w:pPr>
        <w:shd w:val="clear" w:color="auto" w:fill="FFFFFF"/>
        <w:tabs>
          <w:tab w:val="left" w:pos="768"/>
          <w:tab w:val="left" w:leader="underscore" w:pos="4426"/>
        </w:tabs>
        <w:jc w:val="center"/>
        <w:rPr>
          <w:sz w:val="24"/>
          <w:u w:val="single"/>
        </w:rPr>
      </w:pPr>
      <w:r w:rsidRPr="006874A6">
        <w:rPr>
          <w:i/>
          <w:iCs/>
          <w:sz w:val="24"/>
          <w:u w:val="single"/>
        </w:rPr>
        <w:t>Посада, прізвище, ініціали, підпис уповноваженої особи Учасника, завірені печаткою.</w:t>
      </w:r>
    </w:p>
    <w:p w:rsidR="00306CE9" w:rsidRPr="006874A6" w:rsidRDefault="00306CE9" w:rsidP="006874A6">
      <w:pPr>
        <w:pStyle w:val="rvps7"/>
        <w:shd w:val="clear" w:color="auto" w:fill="FFFFFF"/>
        <w:spacing w:before="0" w:beforeAutospacing="0" w:after="0" w:afterAutospacing="0"/>
        <w:jc w:val="center"/>
        <w:rPr>
          <w:sz w:val="22"/>
          <w:szCs w:val="22"/>
          <w:lang w:val="uk-UA"/>
        </w:rPr>
      </w:pPr>
    </w:p>
    <w:sectPr w:rsidR="00306CE9" w:rsidRPr="006874A6" w:rsidSect="00306CE9">
      <w:pgSz w:w="11906" w:h="16838"/>
      <w:pgMar w:top="709" w:right="707"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B24CF"/>
    <w:multiLevelType w:val="hybridMultilevel"/>
    <w:tmpl w:val="8A78AB2A"/>
    <w:lvl w:ilvl="0" w:tplc="99A25D8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2703597D"/>
    <w:multiLevelType w:val="hybridMultilevel"/>
    <w:tmpl w:val="279CE74E"/>
    <w:lvl w:ilvl="0" w:tplc="D842FBC4">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AF3197"/>
    <w:multiLevelType w:val="hybridMultilevel"/>
    <w:tmpl w:val="42EA91F6"/>
    <w:lvl w:ilvl="0" w:tplc="2300132E">
      <w:start w:val="1"/>
      <w:numFmt w:val="decimal"/>
      <w:lvlText w:val="%1."/>
      <w:lvlJc w:val="left"/>
      <w:pPr>
        <w:ind w:left="1068" w:hanging="360"/>
      </w:pPr>
      <w:rPr>
        <w:rFonts w:eastAsia="Calibri"/>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4EE746DA"/>
    <w:multiLevelType w:val="hybridMultilevel"/>
    <w:tmpl w:val="5BAA1204"/>
    <w:lvl w:ilvl="0" w:tplc="5A4C85D2">
      <w:start w:val="8"/>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50"/>
    <w:rsid w:val="00005B35"/>
    <w:rsid w:val="00037CD3"/>
    <w:rsid w:val="000A62DF"/>
    <w:rsid w:val="001118E0"/>
    <w:rsid w:val="001167BB"/>
    <w:rsid w:val="00156523"/>
    <w:rsid w:val="00171E54"/>
    <w:rsid w:val="001B4451"/>
    <w:rsid w:val="001C1B10"/>
    <w:rsid w:val="001F5E52"/>
    <w:rsid w:val="00205227"/>
    <w:rsid w:val="00214961"/>
    <w:rsid w:val="00224DB7"/>
    <w:rsid w:val="00265FF1"/>
    <w:rsid w:val="002F03FA"/>
    <w:rsid w:val="00306CE9"/>
    <w:rsid w:val="00342E24"/>
    <w:rsid w:val="00346EB9"/>
    <w:rsid w:val="003524DB"/>
    <w:rsid w:val="00357950"/>
    <w:rsid w:val="003746D8"/>
    <w:rsid w:val="0038292B"/>
    <w:rsid w:val="00390DB4"/>
    <w:rsid w:val="003B2C00"/>
    <w:rsid w:val="003D4EDD"/>
    <w:rsid w:val="00444EFA"/>
    <w:rsid w:val="00546222"/>
    <w:rsid w:val="0055552C"/>
    <w:rsid w:val="00565479"/>
    <w:rsid w:val="00566A97"/>
    <w:rsid w:val="005E7917"/>
    <w:rsid w:val="00602539"/>
    <w:rsid w:val="00630258"/>
    <w:rsid w:val="00640C8F"/>
    <w:rsid w:val="006874A6"/>
    <w:rsid w:val="006B65C7"/>
    <w:rsid w:val="006C19EA"/>
    <w:rsid w:val="006C567B"/>
    <w:rsid w:val="006C75FD"/>
    <w:rsid w:val="006F52EF"/>
    <w:rsid w:val="00736D67"/>
    <w:rsid w:val="007A32DD"/>
    <w:rsid w:val="007D289C"/>
    <w:rsid w:val="00885A95"/>
    <w:rsid w:val="009706F8"/>
    <w:rsid w:val="009B2FBD"/>
    <w:rsid w:val="009F249A"/>
    <w:rsid w:val="00A4527B"/>
    <w:rsid w:val="00A97C74"/>
    <w:rsid w:val="00B0600B"/>
    <w:rsid w:val="00B57EEC"/>
    <w:rsid w:val="00B8191C"/>
    <w:rsid w:val="00C26FB2"/>
    <w:rsid w:val="00C3511F"/>
    <w:rsid w:val="00C52DA9"/>
    <w:rsid w:val="00C54C07"/>
    <w:rsid w:val="00CC349B"/>
    <w:rsid w:val="00CE193F"/>
    <w:rsid w:val="00D81F00"/>
    <w:rsid w:val="00D84F31"/>
    <w:rsid w:val="00DB5613"/>
    <w:rsid w:val="00DB7033"/>
    <w:rsid w:val="00E266ED"/>
    <w:rsid w:val="00E70665"/>
    <w:rsid w:val="00E82245"/>
    <w:rsid w:val="00EC3970"/>
    <w:rsid w:val="00EE5B9F"/>
    <w:rsid w:val="00F44A10"/>
    <w:rsid w:val="00F60080"/>
    <w:rsid w:val="00F75CA5"/>
    <w:rsid w:val="00F91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05D60-0E7E-4B15-990A-ECF991AF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E52"/>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5E52"/>
    <w:rPr>
      <w:color w:val="0000FF"/>
      <w:u w:val="single"/>
    </w:rPr>
  </w:style>
  <w:style w:type="paragraph" w:styleId="a4">
    <w:name w:val="No Spacing"/>
    <w:uiPriority w:val="1"/>
    <w:qFormat/>
    <w:rsid w:val="001F5E52"/>
    <w:pPr>
      <w:spacing w:after="0" w:line="240" w:lineRule="auto"/>
    </w:pPr>
    <w:rPr>
      <w:rFonts w:ascii="Times New Roman" w:eastAsia="Times New Roman" w:hAnsi="Times New Roman" w:cs="Times New Roman"/>
      <w:sz w:val="28"/>
      <w:szCs w:val="24"/>
      <w:lang w:val="uk-UA" w:eastAsia="ru-RU"/>
    </w:rPr>
  </w:style>
  <w:style w:type="paragraph" w:customStyle="1" w:styleId="rvps2">
    <w:name w:val="rvps2"/>
    <w:basedOn w:val="a"/>
    <w:rsid w:val="003D4EDD"/>
    <w:pPr>
      <w:spacing w:before="100" w:beforeAutospacing="1" w:after="100" w:afterAutospacing="1"/>
    </w:pPr>
    <w:rPr>
      <w:sz w:val="24"/>
      <w:lang w:val="ru-RU"/>
    </w:rPr>
  </w:style>
  <w:style w:type="character" w:customStyle="1" w:styleId="rvts46">
    <w:name w:val="rvts46"/>
    <w:basedOn w:val="a0"/>
    <w:rsid w:val="003D4EDD"/>
  </w:style>
  <w:style w:type="character" w:customStyle="1" w:styleId="rvts15">
    <w:name w:val="rvts15"/>
    <w:basedOn w:val="a0"/>
    <w:rsid w:val="003D4EDD"/>
  </w:style>
  <w:style w:type="paragraph" w:customStyle="1" w:styleId="rvps7">
    <w:name w:val="rvps7"/>
    <w:basedOn w:val="a"/>
    <w:rsid w:val="003D4EDD"/>
    <w:pPr>
      <w:spacing w:before="100" w:beforeAutospacing="1" w:after="100" w:afterAutospacing="1"/>
    </w:pPr>
    <w:rPr>
      <w:sz w:val="24"/>
      <w:lang w:val="ru-RU"/>
    </w:rPr>
  </w:style>
  <w:style w:type="paragraph" w:customStyle="1" w:styleId="rvps12">
    <w:name w:val="rvps12"/>
    <w:basedOn w:val="a"/>
    <w:rsid w:val="003D4EDD"/>
    <w:pPr>
      <w:spacing w:before="100" w:beforeAutospacing="1" w:after="100" w:afterAutospacing="1"/>
    </w:pPr>
    <w:rPr>
      <w:sz w:val="24"/>
      <w:lang w:val="ru-RU"/>
    </w:rPr>
  </w:style>
  <w:style w:type="paragraph" w:customStyle="1" w:styleId="rvps4">
    <w:name w:val="rvps4"/>
    <w:basedOn w:val="a"/>
    <w:rsid w:val="003D4EDD"/>
    <w:pPr>
      <w:spacing w:before="100" w:beforeAutospacing="1" w:after="100" w:afterAutospacing="1"/>
    </w:pPr>
    <w:rPr>
      <w:sz w:val="24"/>
      <w:lang w:val="ru-RU"/>
    </w:rPr>
  </w:style>
  <w:style w:type="character" w:customStyle="1" w:styleId="rvts9">
    <w:name w:val="rvts9"/>
    <w:basedOn w:val="a0"/>
    <w:rsid w:val="003D4EDD"/>
  </w:style>
  <w:style w:type="paragraph" w:customStyle="1" w:styleId="rvps15">
    <w:name w:val="rvps15"/>
    <w:basedOn w:val="a"/>
    <w:rsid w:val="003D4EDD"/>
    <w:pPr>
      <w:spacing w:before="100" w:beforeAutospacing="1" w:after="100" w:afterAutospacing="1"/>
    </w:pPr>
    <w:rPr>
      <w:sz w:val="24"/>
      <w:lang w:val="ru-RU"/>
    </w:rPr>
  </w:style>
  <w:style w:type="paragraph" w:styleId="a5">
    <w:name w:val="List Paragraph"/>
    <w:basedOn w:val="a"/>
    <w:uiPriority w:val="34"/>
    <w:qFormat/>
    <w:rsid w:val="001118E0"/>
    <w:pPr>
      <w:spacing w:after="160" w:line="259" w:lineRule="auto"/>
      <w:ind w:left="720"/>
      <w:contextualSpacing/>
    </w:pPr>
    <w:rPr>
      <w:rFonts w:eastAsiaTheme="minorHAnsi" w:cstheme="minorBidi"/>
      <w:szCs w:val="22"/>
      <w:lang w:val="ru-RU" w:eastAsia="en-US"/>
    </w:rPr>
  </w:style>
  <w:style w:type="paragraph" w:styleId="a6">
    <w:name w:val="Balloon Text"/>
    <w:basedOn w:val="a"/>
    <w:link w:val="a7"/>
    <w:uiPriority w:val="99"/>
    <w:semiHidden/>
    <w:unhideWhenUsed/>
    <w:rsid w:val="001118E0"/>
    <w:rPr>
      <w:rFonts w:ascii="Segoe UI" w:hAnsi="Segoe UI" w:cs="Segoe UI"/>
      <w:sz w:val="18"/>
      <w:szCs w:val="18"/>
    </w:rPr>
  </w:style>
  <w:style w:type="character" w:customStyle="1" w:styleId="a7">
    <w:name w:val="Текст выноски Знак"/>
    <w:basedOn w:val="a0"/>
    <w:link w:val="a6"/>
    <w:uiPriority w:val="99"/>
    <w:semiHidden/>
    <w:rsid w:val="001118E0"/>
    <w:rPr>
      <w:rFonts w:ascii="Segoe UI" w:eastAsia="Times New Roman" w:hAnsi="Segoe UI" w:cs="Segoe UI"/>
      <w:sz w:val="18"/>
      <w:szCs w:val="18"/>
      <w:lang w:val="uk-UA" w:eastAsia="ru-RU"/>
    </w:rPr>
  </w:style>
  <w:style w:type="paragraph" w:styleId="a8">
    <w:name w:val="header"/>
    <w:basedOn w:val="a"/>
    <w:link w:val="a9"/>
    <w:rsid w:val="006B65C7"/>
    <w:pPr>
      <w:tabs>
        <w:tab w:val="center" w:pos="4153"/>
        <w:tab w:val="right" w:pos="8306"/>
      </w:tabs>
      <w:overflowPunct w:val="0"/>
      <w:autoSpaceDE w:val="0"/>
      <w:autoSpaceDN w:val="0"/>
      <w:adjustRightInd w:val="0"/>
    </w:pPr>
    <w:rPr>
      <w:sz w:val="20"/>
      <w:szCs w:val="20"/>
      <w:lang w:val="ru-RU"/>
    </w:rPr>
  </w:style>
  <w:style w:type="character" w:customStyle="1" w:styleId="a9">
    <w:name w:val="Верхний колонтитул Знак"/>
    <w:basedOn w:val="a0"/>
    <w:link w:val="a8"/>
    <w:rsid w:val="006B65C7"/>
    <w:rPr>
      <w:rFonts w:ascii="Times New Roman" w:eastAsia="Times New Roman" w:hAnsi="Times New Roman" w:cs="Times New Roman"/>
      <w:sz w:val="20"/>
      <w:szCs w:val="20"/>
      <w:lang w:eastAsia="ru-RU"/>
    </w:rPr>
  </w:style>
  <w:style w:type="paragraph" w:customStyle="1" w:styleId="aa">
    <w:name w:val="Знак Знак Знак Знак Знак Знак Знак"/>
    <w:basedOn w:val="a"/>
    <w:rsid w:val="006B65C7"/>
    <w:rPr>
      <w:rFonts w:ascii="Verdana" w:hAnsi="Verdana" w:cs="Verdana"/>
      <w:sz w:val="20"/>
      <w:szCs w:val="20"/>
      <w:lang w:val="en-US" w:eastAsia="en-US"/>
    </w:rPr>
  </w:style>
  <w:style w:type="paragraph" w:styleId="ab">
    <w:name w:val="Normal (Web)"/>
    <w:basedOn w:val="a"/>
    <w:uiPriority w:val="99"/>
    <w:rsid w:val="00B57EEC"/>
    <w:pPr>
      <w:spacing w:before="100" w:beforeAutospacing="1" w:after="100" w:afterAutospacing="1"/>
    </w:pPr>
    <w:rPr>
      <w:sz w:val="24"/>
      <w:lang w:val="ru-RU"/>
    </w:rPr>
  </w:style>
  <w:style w:type="table" w:styleId="ac">
    <w:name w:val="Table Grid"/>
    <w:basedOn w:val="a1"/>
    <w:uiPriority w:val="39"/>
    <w:rsid w:val="00224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644">
      <w:bodyDiv w:val="1"/>
      <w:marLeft w:val="0"/>
      <w:marRight w:val="0"/>
      <w:marTop w:val="0"/>
      <w:marBottom w:val="0"/>
      <w:divBdr>
        <w:top w:val="none" w:sz="0" w:space="0" w:color="auto"/>
        <w:left w:val="none" w:sz="0" w:space="0" w:color="auto"/>
        <w:bottom w:val="none" w:sz="0" w:space="0" w:color="auto"/>
        <w:right w:val="none" w:sz="0" w:space="0" w:color="auto"/>
      </w:divBdr>
      <w:divsChild>
        <w:div w:id="237252187">
          <w:marLeft w:val="0"/>
          <w:marRight w:val="0"/>
          <w:marTop w:val="0"/>
          <w:marBottom w:val="150"/>
          <w:divBdr>
            <w:top w:val="none" w:sz="0" w:space="0" w:color="auto"/>
            <w:left w:val="none" w:sz="0" w:space="0" w:color="auto"/>
            <w:bottom w:val="none" w:sz="0" w:space="0" w:color="auto"/>
            <w:right w:val="none" w:sz="0" w:space="0" w:color="auto"/>
          </w:divBdr>
        </w:div>
      </w:divsChild>
    </w:div>
    <w:div w:id="581573166">
      <w:bodyDiv w:val="1"/>
      <w:marLeft w:val="0"/>
      <w:marRight w:val="0"/>
      <w:marTop w:val="0"/>
      <w:marBottom w:val="0"/>
      <w:divBdr>
        <w:top w:val="none" w:sz="0" w:space="0" w:color="auto"/>
        <w:left w:val="none" w:sz="0" w:space="0" w:color="auto"/>
        <w:bottom w:val="none" w:sz="0" w:space="0" w:color="auto"/>
        <w:right w:val="none" w:sz="0" w:space="0" w:color="auto"/>
      </w:divBdr>
    </w:div>
    <w:div w:id="1018891743">
      <w:bodyDiv w:val="1"/>
      <w:marLeft w:val="0"/>
      <w:marRight w:val="0"/>
      <w:marTop w:val="0"/>
      <w:marBottom w:val="0"/>
      <w:divBdr>
        <w:top w:val="none" w:sz="0" w:space="0" w:color="auto"/>
        <w:left w:val="none" w:sz="0" w:space="0" w:color="auto"/>
        <w:bottom w:val="none" w:sz="0" w:space="0" w:color="auto"/>
        <w:right w:val="none" w:sz="0" w:space="0" w:color="auto"/>
      </w:divBdr>
    </w:div>
    <w:div w:id="116293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21B2-B99A-4B36-9495-523C7A38D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Шепелєв Олександр Єгорович</dc:creator>
  <cp:keywords/>
  <dc:description/>
  <cp:lastModifiedBy>Гулякін Руслан Олександрович</cp:lastModifiedBy>
  <cp:revision>2</cp:revision>
  <cp:lastPrinted>2025-01-27T13:30:00Z</cp:lastPrinted>
  <dcterms:created xsi:type="dcterms:W3CDTF">2025-03-07T09:56:00Z</dcterms:created>
  <dcterms:modified xsi:type="dcterms:W3CDTF">2025-03-07T09:56:00Z</dcterms:modified>
</cp:coreProperties>
</file>