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27" w:rsidRPr="002F137B" w:rsidRDefault="00FA056A" w:rsidP="00FA056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F137B">
        <w:rPr>
          <w:sz w:val="28"/>
          <w:szCs w:val="28"/>
          <w:lang w:val="uk-UA"/>
        </w:rPr>
        <w:t>Відповідно до пункту 4</w:t>
      </w:r>
      <w:r w:rsidRPr="002F137B">
        <w:rPr>
          <w:sz w:val="28"/>
          <w:szCs w:val="28"/>
          <w:vertAlign w:val="superscript"/>
          <w:lang w:val="uk-UA"/>
        </w:rPr>
        <w:t>1</w:t>
      </w:r>
      <w:r w:rsidRPr="002F137B">
        <w:rPr>
          <w:sz w:val="28"/>
          <w:szCs w:val="28"/>
          <w:lang w:val="uk-UA"/>
        </w:rPr>
        <w:t> 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="008011AF" w:rsidRPr="002F137B">
        <w:rPr>
          <w:sz w:val="28"/>
          <w:szCs w:val="28"/>
          <w:lang w:val="uk-UA"/>
        </w:rPr>
        <w:t xml:space="preserve"> генераторів для виконавчих органів Сумської міської ради, для забезпечення функціонування «Пунктів Незламності» та  комунальних підприємств Сумської міської ради (в їх адміністративних будівлях при виникненні надзвичайних ситуацій), </w:t>
      </w:r>
      <w:r w:rsidR="008011AF" w:rsidRPr="002F137B">
        <w:rPr>
          <w:color w:val="000000"/>
          <w:sz w:val="28"/>
          <w:szCs w:val="28"/>
          <w:lang w:val="uk-UA"/>
        </w:rPr>
        <w:t xml:space="preserve">код за </w:t>
      </w:r>
      <w:r w:rsidR="008011AF" w:rsidRPr="002F137B">
        <w:rPr>
          <w:sz w:val="28"/>
          <w:szCs w:val="28"/>
          <w:lang w:val="uk-UA"/>
        </w:rPr>
        <w:t xml:space="preserve">ДК 021:2015-31120000-3 </w:t>
      </w:r>
      <w:r w:rsidR="008011AF" w:rsidRPr="002F137B">
        <w:rPr>
          <w:color w:val="000000"/>
          <w:sz w:val="28"/>
          <w:szCs w:val="28"/>
          <w:lang w:val="uk-UA"/>
        </w:rPr>
        <w:t>«</w:t>
      </w:r>
      <w:r w:rsidR="008011AF" w:rsidRPr="002F137B">
        <w:rPr>
          <w:sz w:val="28"/>
          <w:szCs w:val="28"/>
          <w:lang w:val="uk-UA"/>
        </w:rPr>
        <w:t>Генератори</w:t>
      </w:r>
      <w:r w:rsidR="008011AF" w:rsidRPr="002F137B">
        <w:rPr>
          <w:color w:val="000000"/>
          <w:sz w:val="28"/>
          <w:szCs w:val="28"/>
          <w:lang w:val="uk-UA"/>
        </w:rPr>
        <w:t xml:space="preserve">» на суму </w:t>
      </w:r>
      <w:r w:rsidR="00921080" w:rsidRPr="002F137B">
        <w:rPr>
          <w:rFonts w:eastAsia="Arial"/>
          <w:color w:val="000000"/>
          <w:sz w:val="28"/>
          <w:szCs w:val="28"/>
          <w:lang w:val="uk-UA"/>
        </w:rPr>
        <w:t>8 213 173</w:t>
      </w:r>
      <w:r w:rsidR="00921080" w:rsidRPr="002F137B">
        <w:rPr>
          <w:color w:val="000000"/>
          <w:sz w:val="28"/>
          <w:szCs w:val="28"/>
          <w:lang w:val="uk-UA"/>
        </w:rPr>
        <w:t>,00 грн. (вісім мільйонів двісті тринадцять тисяч сто сімдесят три гривні 00 коп.</w:t>
      </w:r>
      <w:r w:rsidR="008011AF" w:rsidRPr="002F137B">
        <w:rPr>
          <w:color w:val="000000"/>
          <w:sz w:val="28"/>
          <w:szCs w:val="28"/>
          <w:lang w:val="uk-UA"/>
        </w:rPr>
        <w:t xml:space="preserve">), у кількості </w:t>
      </w:r>
      <w:r w:rsidR="00921080" w:rsidRPr="002F137B">
        <w:rPr>
          <w:color w:val="000000"/>
          <w:sz w:val="28"/>
          <w:szCs w:val="28"/>
          <w:lang w:val="uk-UA"/>
        </w:rPr>
        <w:t>103</w:t>
      </w:r>
      <w:r w:rsidR="008011AF" w:rsidRPr="002F137B">
        <w:rPr>
          <w:color w:val="000000"/>
          <w:sz w:val="28"/>
          <w:szCs w:val="28"/>
          <w:lang w:val="uk-UA"/>
        </w:rPr>
        <w:t xml:space="preserve"> одиниць.</w:t>
      </w:r>
    </w:p>
    <w:p w:rsidR="002F137B" w:rsidRDefault="005F1B17" w:rsidP="002F137B">
      <w:pPr>
        <w:ind w:firstLine="567"/>
        <w:jc w:val="both"/>
        <w:rPr>
          <w:iCs/>
          <w:sz w:val="28"/>
          <w:szCs w:val="28"/>
          <w:lang w:val="uk-UA"/>
        </w:rPr>
      </w:pPr>
      <w:bookmarkStart w:id="0" w:name="_GoBack"/>
      <w:bookmarkEnd w:id="0"/>
      <w:r w:rsidRPr="002F137B">
        <w:rPr>
          <w:iCs/>
          <w:sz w:val="28"/>
          <w:szCs w:val="28"/>
          <w:lang w:val="uk-UA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</w:t>
      </w:r>
      <w:r w:rsidR="002F137B">
        <w:rPr>
          <w:iCs/>
          <w:sz w:val="28"/>
          <w:szCs w:val="28"/>
          <w:lang w:val="uk-UA"/>
        </w:rPr>
        <w:t xml:space="preserve">в електронній системі </w:t>
      </w:r>
      <w:proofErr w:type="spellStart"/>
      <w:r w:rsidR="002F137B">
        <w:rPr>
          <w:iCs/>
          <w:sz w:val="28"/>
          <w:szCs w:val="28"/>
          <w:lang w:val="uk-UA"/>
        </w:rPr>
        <w:t>Prozorro</w:t>
      </w:r>
      <w:proofErr w:type="spellEnd"/>
      <w:r w:rsidR="002F137B">
        <w:rPr>
          <w:iCs/>
          <w:sz w:val="28"/>
          <w:szCs w:val="28"/>
          <w:lang w:val="uk-UA"/>
        </w:rPr>
        <w:t>.</w:t>
      </w:r>
    </w:p>
    <w:p w:rsidR="005F1B17" w:rsidRPr="002F137B" w:rsidRDefault="005F1B17" w:rsidP="002F137B">
      <w:pPr>
        <w:ind w:firstLine="567"/>
        <w:jc w:val="both"/>
        <w:rPr>
          <w:iCs/>
          <w:sz w:val="28"/>
          <w:szCs w:val="28"/>
          <w:lang w:val="uk-UA"/>
        </w:rPr>
      </w:pPr>
      <w:r w:rsidRPr="002F137B">
        <w:rPr>
          <w:iCs/>
          <w:sz w:val="28"/>
          <w:szCs w:val="28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5F1B17" w:rsidRPr="002F137B" w:rsidRDefault="005F1B17" w:rsidP="002F137B">
      <w:pPr>
        <w:ind w:firstLine="567"/>
        <w:jc w:val="both"/>
        <w:rPr>
          <w:sz w:val="28"/>
          <w:szCs w:val="28"/>
          <w:lang w:val="uk-UA"/>
        </w:rPr>
      </w:pPr>
      <w:r w:rsidRPr="002F137B">
        <w:rPr>
          <w:sz w:val="28"/>
          <w:szCs w:val="28"/>
          <w:lang w:val="uk-UA"/>
        </w:rPr>
        <w:t xml:space="preserve">Бюджетне призначення визначено </w:t>
      </w:r>
      <w:r w:rsidR="002F137B" w:rsidRPr="002F137B">
        <w:rPr>
          <w:sz w:val="28"/>
          <w:szCs w:val="28"/>
          <w:lang w:val="uk-UA"/>
        </w:rPr>
        <w:t xml:space="preserve">згідно з </w:t>
      </w:r>
      <w:r w:rsidRPr="002F137B">
        <w:rPr>
          <w:sz w:val="28"/>
          <w:szCs w:val="28"/>
          <w:lang w:val="uk-UA"/>
        </w:rPr>
        <w:t>КПКВК 0218110 «</w:t>
      </w:r>
      <w:r w:rsidR="002F137B" w:rsidRPr="002F137B">
        <w:rPr>
          <w:sz w:val="28"/>
          <w:szCs w:val="28"/>
          <w:lang w:val="uk-UA"/>
        </w:rPr>
        <w:t>Заходи із запобігання та ліквідації надзвичайних ситуацій та наслідків стихійного лиха</w:t>
      </w:r>
      <w:r w:rsidRPr="002F137B">
        <w:rPr>
          <w:sz w:val="28"/>
          <w:szCs w:val="28"/>
          <w:lang w:val="uk-UA"/>
        </w:rPr>
        <w:t>»</w:t>
      </w:r>
      <w:r w:rsidR="002F137B" w:rsidRPr="002F137B">
        <w:rPr>
          <w:sz w:val="28"/>
          <w:szCs w:val="28"/>
          <w:lang w:val="uk-UA"/>
        </w:rPr>
        <w:t xml:space="preserve"> </w:t>
      </w:r>
      <w:r w:rsidR="002F137B" w:rsidRPr="002F137B">
        <w:rPr>
          <w:sz w:val="28"/>
          <w:szCs w:val="28"/>
          <w:lang w:val="uk-UA"/>
        </w:rPr>
        <w:t>відповідно до</w:t>
      </w:r>
      <w:r w:rsidR="002F137B" w:rsidRPr="002F137B">
        <w:rPr>
          <w:sz w:val="28"/>
          <w:szCs w:val="28"/>
          <w:lang w:val="uk-UA"/>
        </w:rPr>
        <w:t xml:space="preserve"> рішення Сумської міської ради від 14.12.2022 № 3309-МР  «</w:t>
      </w:r>
      <w:r w:rsidR="002F137B" w:rsidRPr="002F137B">
        <w:rPr>
          <w:sz w:val="28"/>
          <w:szCs w:val="28"/>
          <w:lang w:val="uk-UA"/>
        </w:rPr>
        <w:t>Про       бю</w:t>
      </w:r>
      <w:r w:rsidR="002F137B" w:rsidRPr="002F137B">
        <w:rPr>
          <w:sz w:val="28"/>
          <w:szCs w:val="28"/>
          <w:lang w:val="uk-UA"/>
        </w:rPr>
        <w:t xml:space="preserve">джет Сумської міської територіальної громади на 2023 </w:t>
      </w:r>
      <w:r w:rsidR="002F137B" w:rsidRPr="002F137B">
        <w:rPr>
          <w:sz w:val="28"/>
          <w:szCs w:val="28"/>
          <w:lang w:val="uk-UA"/>
        </w:rPr>
        <w:t>рік</w:t>
      </w:r>
      <w:r w:rsidR="002F137B" w:rsidRPr="002F137B">
        <w:rPr>
          <w:sz w:val="28"/>
          <w:szCs w:val="28"/>
          <w:lang w:val="uk-UA"/>
        </w:rPr>
        <w:t>» (зі змінами).</w:t>
      </w:r>
    </w:p>
    <w:p w:rsidR="008011AF" w:rsidRDefault="008011AF" w:rsidP="005B1897">
      <w:pPr>
        <w:jc w:val="center"/>
        <w:rPr>
          <w:b/>
          <w:bCs/>
          <w:sz w:val="28"/>
          <w:szCs w:val="28"/>
          <w:lang w:val="uk-UA"/>
        </w:rPr>
      </w:pPr>
    </w:p>
    <w:p w:rsidR="008011AF" w:rsidRPr="00F209F8" w:rsidRDefault="008011AF" w:rsidP="008011AF">
      <w:pPr>
        <w:jc w:val="center"/>
        <w:rPr>
          <w:b/>
          <w:sz w:val="28"/>
          <w:szCs w:val="28"/>
          <w:lang w:val="uk-UA"/>
        </w:rPr>
      </w:pPr>
      <w:r w:rsidRPr="00F209F8">
        <w:rPr>
          <w:b/>
          <w:sz w:val="28"/>
          <w:szCs w:val="28"/>
          <w:lang w:val="uk-UA"/>
        </w:rPr>
        <w:t>ТЕХНІЧНІ, ЯКІСНІ ТА КІЛЬКІСНІ ХАРАКТЕРИСТИКИ ПРЕДМЕТА ЗАКУПІВЛІ</w:t>
      </w:r>
    </w:p>
    <w:p w:rsidR="008011AF" w:rsidRPr="008011AF" w:rsidRDefault="008011AF" w:rsidP="008011AF">
      <w:pPr>
        <w:jc w:val="center"/>
        <w:rPr>
          <w:sz w:val="28"/>
          <w:szCs w:val="28"/>
        </w:rPr>
      </w:pPr>
      <w:proofErr w:type="spellStart"/>
      <w:r w:rsidRPr="008011AF">
        <w:rPr>
          <w:sz w:val="28"/>
          <w:szCs w:val="28"/>
        </w:rPr>
        <w:t>Генератори</w:t>
      </w:r>
      <w:proofErr w:type="spellEnd"/>
      <w:r w:rsidRPr="008011AF">
        <w:rPr>
          <w:sz w:val="28"/>
          <w:szCs w:val="28"/>
        </w:rPr>
        <w:t xml:space="preserve"> для </w:t>
      </w:r>
      <w:proofErr w:type="spellStart"/>
      <w:r w:rsidRPr="008011AF">
        <w:rPr>
          <w:sz w:val="28"/>
          <w:szCs w:val="28"/>
        </w:rPr>
        <w:t>виконавчих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органів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Сумської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міської</w:t>
      </w:r>
      <w:proofErr w:type="spellEnd"/>
      <w:r w:rsidRPr="008011AF">
        <w:rPr>
          <w:sz w:val="28"/>
          <w:szCs w:val="28"/>
        </w:rPr>
        <w:t xml:space="preserve"> ради –</w:t>
      </w:r>
    </w:p>
    <w:p w:rsidR="008011AF" w:rsidRPr="008011AF" w:rsidRDefault="008011AF" w:rsidP="008011AF">
      <w:pPr>
        <w:jc w:val="center"/>
        <w:rPr>
          <w:sz w:val="28"/>
          <w:szCs w:val="28"/>
        </w:rPr>
      </w:pPr>
      <w:r w:rsidRPr="008011AF">
        <w:rPr>
          <w:sz w:val="28"/>
          <w:szCs w:val="28"/>
        </w:rPr>
        <w:t>код за ДК 021:2015 - 31120000-3 (</w:t>
      </w:r>
      <w:proofErr w:type="spellStart"/>
      <w:r w:rsidRPr="008011AF">
        <w:rPr>
          <w:sz w:val="28"/>
          <w:szCs w:val="28"/>
        </w:rPr>
        <w:t>Генератори</w:t>
      </w:r>
      <w:proofErr w:type="spellEnd"/>
      <w:r w:rsidRPr="008011AF">
        <w:rPr>
          <w:sz w:val="28"/>
          <w:szCs w:val="28"/>
        </w:rPr>
        <w:t>).</w:t>
      </w:r>
    </w:p>
    <w:p w:rsidR="008011AF" w:rsidRPr="008011AF" w:rsidRDefault="008011AF" w:rsidP="008011AF">
      <w:pPr>
        <w:jc w:val="center"/>
        <w:rPr>
          <w:sz w:val="28"/>
          <w:szCs w:val="28"/>
        </w:rPr>
      </w:pPr>
    </w:p>
    <w:p w:rsidR="008011AF" w:rsidRPr="008011AF" w:rsidRDefault="008011AF" w:rsidP="008011AF">
      <w:pPr>
        <w:ind w:firstLine="567"/>
        <w:jc w:val="both"/>
        <w:rPr>
          <w:sz w:val="28"/>
          <w:szCs w:val="28"/>
        </w:rPr>
      </w:pPr>
      <w:proofErr w:type="spellStart"/>
      <w:r w:rsidRPr="008011AF">
        <w:rPr>
          <w:sz w:val="28"/>
          <w:szCs w:val="28"/>
        </w:rPr>
        <w:t>Пропозиція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Учасника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має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містити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чітке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вказання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моделі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запропонованого</w:t>
      </w:r>
      <w:proofErr w:type="spellEnd"/>
      <w:r w:rsidRPr="008011AF">
        <w:rPr>
          <w:sz w:val="28"/>
          <w:szCs w:val="28"/>
        </w:rPr>
        <w:t xml:space="preserve"> товару для </w:t>
      </w:r>
      <w:proofErr w:type="spellStart"/>
      <w:r w:rsidRPr="008011AF">
        <w:rPr>
          <w:sz w:val="28"/>
          <w:szCs w:val="28"/>
        </w:rPr>
        <w:t>можливості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складання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звіту</w:t>
      </w:r>
      <w:proofErr w:type="spellEnd"/>
      <w:r w:rsidRPr="008011AF">
        <w:rPr>
          <w:sz w:val="28"/>
          <w:szCs w:val="28"/>
        </w:rPr>
        <w:t xml:space="preserve"> про </w:t>
      </w:r>
      <w:proofErr w:type="spellStart"/>
      <w:r w:rsidRPr="008011AF">
        <w:rPr>
          <w:sz w:val="28"/>
          <w:szCs w:val="28"/>
        </w:rPr>
        <w:t>відповідність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запропонованої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моделі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технічним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вимогам</w:t>
      </w:r>
      <w:proofErr w:type="spellEnd"/>
      <w:r w:rsidRPr="008011AF">
        <w:rPr>
          <w:sz w:val="28"/>
          <w:szCs w:val="28"/>
        </w:rPr>
        <w:t xml:space="preserve"> предмету </w:t>
      </w:r>
      <w:proofErr w:type="spellStart"/>
      <w:r w:rsidRPr="008011AF">
        <w:rPr>
          <w:sz w:val="28"/>
          <w:szCs w:val="28"/>
        </w:rPr>
        <w:t>закупівлі</w:t>
      </w:r>
      <w:proofErr w:type="spellEnd"/>
      <w:r w:rsidRPr="008011AF">
        <w:rPr>
          <w:sz w:val="28"/>
          <w:szCs w:val="28"/>
        </w:rPr>
        <w:t>.</w:t>
      </w:r>
    </w:p>
    <w:p w:rsidR="008011AF" w:rsidRDefault="008011AF" w:rsidP="00FA056A">
      <w:pPr>
        <w:ind w:firstLine="567"/>
        <w:jc w:val="both"/>
        <w:rPr>
          <w:sz w:val="28"/>
          <w:szCs w:val="28"/>
        </w:rPr>
      </w:pPr>
      <w:proofErr w:type="spellStart"/>
      <w:r w:rsidRPr="008011AF">
        <w:rPr>
          <w:sz w:val="28"/>
          <w:szCs w:val="28"/>
        </w:rPr>
        <w:t>Обладнання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має</w:t>
      </w:r>
      <w:proofErr w:type="spellEnd"/>
      <w:r w:rsidRPr="008011AF">
        <w:rPr>
          <w:sz w:val="28"/>
          <w:szCs w:val="28"/>
        </w:rPr>
        <w:t xml:space="preserve"> бути </w:t>
      </w:r>
      <w:proofErr w:type="spellStart"/>
      <w:r w:rsidRPr="008011AF">
        <w:rPr>
          <w:sz w:val="28"/>
          <w:szCs w:val="28"/>
        </w:rPr>
        <w:t>поставлене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згідно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технічних</w:t>
      </w:r>
      <w:proofErr w:type="spellEnd"/>
      <w:r w:rsidRPr="008011AF">
        <w:rPr>
          <w:sz w:val="28"/>
          <w:szCs w:val="28"/>
        </w:rPr>
        <w:t xml:space="preserve"> та </w:t>
      </w:r>
      <w:proofErr w:type="spellStart"/>
      <w:r w:rsidRPr="008011AF">
        <w:rPr>
          <w:sz w:val="28"/>
          <w:szCs w:val="28"/>
        </w:rPr>
        <w:t>якісних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вимог</w:t>
      </w:r>
      <w:proofErr w:type="spellEnd"/>
      <w:r w:rsidRPr="008011AF">
        <w:rPr>
          <w:sz w:val="28"/>
          <w:szCs w:val="28"/>
        </w:rPr>
        <w:t xml:space="preserve">, </w:t>
      </w:r>
      <w:proofErr w:type="spellStart"/>
      <w:r w:rsidRPr="008011AF">
        <w:rPr>
          <w:sz w:val="28"/>
          <w:szCs w:val="28"/>
        </w:rPr>
        <w:t>визначених</w:t>
      </w:r>
      <w:proofErr w:type="spellEnd"/>
      <w:r w:rsidRPr="008011AF">
        <w:rPr>
          <w:sz w:val="28"/>
          <w:szCs w:val="28"/>
        </w:rPr>
        <w:t xml:space="preserve"> у </w:t>
      </w:r>
      <w:proofErr w:type="spellStart"/>
      <w:r w:rsidRPr="008011AF">
        <w:rPr>
          <w:sz w:val="28"/>
          <w:szCs w:val="28"/>
        </w:rPr>
        <w:t>таблиці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нижче</w:t>
      </w:r>
      <w:proofErr w:type="spellEnd"/>
      <w:r w:rsidRPr="008011AF">
        <w:rPr>
          <w:sz w:val="28"/>
          <w:szCs w:val="28"/>
        </w:rPr>
        <w:t>:</w:t>
      </w:r>
    </w:p>
    <w:p w:rsidR="008011AF" w:rsidRDefault="008011AF" w:rsidP="008011AF">
      <w:pPr>
        <w:ind w:firstLine="567"/>
        <w:jc w:val="both"/>
        <w:rPr>
          <w:sz w:val="28"/>
          <w:szCs w:val="28"/>
        </w:rPr>
      </w:pPr>
    </w:p>
    <w:p w:rsidR="008011AF" w:rsidRPr="008011AF" w:rsidRDefault="008011AF" w:rsidP="008011AF">
      <w:pPr>
        <w:pStyle w:val="a6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011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Бензиновий</w:t>
      </w:r>
      <w:proofErr w:type="spellEnd"/>
      <w:r w:rsidRPr="008011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генератор 2,8 кВт – 50 </w:t>
      </w:r>
      <w:proofErr w:type="spellStart"/>
      <w:r w:rsidRPr="008011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одиниць</w:t>
      </w:r>
      <w:proofErr w:type="spellEnd"/>
    </w:p>
    <w:tbl>
      <w:tblPr>
        <w:tblW w:w="108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559"/>
        <w:gridCol w:w="1939"/>
      </w:tblGrid>
      <w:tr w:rsidR="008011AF" w:rsidRPr="008011AF" w:rsidTr="008011A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 xml:space="preserve"> параметру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Значення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Критерій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номінальна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>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максимальна,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Кількість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розеток (230 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Напруга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постійного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струму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12 В / 6.5 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Вихідна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напруга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>,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Тип запуску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Ручний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Відповідає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Кількість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фаз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Довжина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ДГ,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Ширина  ДГ,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Висота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ДГ,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Місткість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паливного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баку,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Вага ДГ (без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палива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>),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Об'єм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двигуна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см.куб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Тип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палива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Бензин AI-92-95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Відповідає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Витрата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палива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(квт/л/год)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0,46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двигуна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к.с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>.)</w:t>
            </w:r>
            <w:r w:rsidRPr="008011AF">
              <w:rPr>
                <w:rFonts w:eastAsia="Arial"/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Ємність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масляної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системи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, 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рівень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шуму (DB)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AVR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Має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Відповідає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Комплектація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: вилка - 2шт.,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свічний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ключ - 1шт.,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інструкція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Гарантійний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талон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Має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Відповідає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Гарантійний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термін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місяців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>/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мотогодин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24/2000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</w:tbl>
    <w:p w:rsidR="008011AF" w:rsidRPr="008011AF" w:rsidRDefault="008011AF" w:rsidP="008011AF">
      <w:pPr>
        <w:rPr>
          <w:sz w:val="28"/>
          <w:szCs w:val="28"/>
        </w:rPr>
      </w:pPr>
    </w:p>
    <w:p w:rsidR="008011AF" w:rsidRPr="008011AF" w:rsidRDefault="008011AF" w:rsidP="008011AF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011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Бензиновий</w:t>
      </w:r>
      <w:proofErr w:type="spellEnd"/>
      <w:r w:rsidRPr="008011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генератор 3 кВт – 8 </w:t>
      </w:r>
      <w:proofErr w:type="spellStart"/>
      <w:r w:rsidRPr="008011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одиниць</w:t>
      </w:r>
      <w:proofErr w:type="spellEnd"/>
    </w:p>
    <w:tbl>
      <w:tblPr>
        <w:tblW w:w="108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559"/>
        <w:gridCol w:w="1939"/>
      </w:tblGrid>
      <w:tr w:rsidR="008011AF" w:rsidRPr="008011AF" w:rsidTr="008011A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 xml:space="preserve"> параметру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Значення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Критерій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sz w:val="28"/>
                <w:szCs w:val="28"/>
              </w:rPr>
              <w:t>Потужність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sz w:val="28"/>
                <w:szCs w:val="28"/>
              </w:rPr>
              <w:t>номінальна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>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sz w:val="28"/>
                <w:szCs w:val="28"/>
              </w:rPr>
              <w:t>2,5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sz w:val="28"/>
                <w:szCs w:val="28"/>
              </w:rPr>
              <w:t>Потужність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 максимальна,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sz w:val="28"/>
                <w:szCs w:val="28"/>
              </w:rPr>
              <w:t>Напруга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>,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sz w:val="28"/>
                <w:szCs w:val="28"/>
              </w:rPr>
              <w:t>230/400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rPr>
                <w:rFonts w:eastAsia="Arial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sz w:val="28"/>
                <w:szCs w:val="28"/>
              </w:rPr>
              <w:t>Кількість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 фаз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rPr>
                <w:rFonts w:eastAsia="Arial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sz w:val="28"/>
                <w:szCs w:val="28"/>
              </w:rPr>
              <w:t>Об’єм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sz w:val="28"/>
                <w:szCs w:val="28"/>
              </w:rPr>
              <w:t>паливного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 баку,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sz w:val="28"/>
                <w:szCs w:val="28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sz w:val="28"/>
                <w:szCs w:val="28"/>
              </w:rPr>
              <w:t xml:space="preserve">Вага ДГ без </w:t>
            </w:r>
            <w:proofErr w:type="spellStart"/>
            <w:r w:rsidRPr="008011AF">
              <w:rPr>
                <w:rFonts w:eastAsia="Arial"/>
                <w:sz w:val="28"/>
                <w:szCs w:val="28"/>
              </w:rPr>
              <w:t>палива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>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sz w:val="28"/>
                <w:szCs w:val="28"/>
                <w:lang w:val="en-US"/>
              </w:rPr>
            </w:pPr>
            <w:r w:rsidRPr="008011AF">
              <w:rPr>
                <w:rFonts w:eastAsia="Arial"/>
                <w:sz w:val="28"/>
                <w:szCs w:val="28"/>
                <w:lang w:val="en-US"/>
              </w:rPr>
              <w:t>84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sz w:val="28"/>
                <w:szCs w:val="28"/>
              </w:rPr>
              <w:t>Робочий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sz w:val="28"/>
                <w:szCs w:val="28"/>
              </w:rPr>
              <w:t>об'єм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>, см3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sz w:val="28"/>
                <w:szCs w:val="28"/>
                <w:lang w:val="en-US"/>
              </w:rPr>
            </w:pPr>
            <w:r w:rsidRPr="008011AF">
              <w:rPr>
                <w:rFonts w:eastAsia="Arial"/>
                <w:sz w:val="28"/>
                <w:szCs w:val="28"/>
                <w:lang w:val="en-US"/>
              </w:rPr>
              <w:t>389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sz w:val="28"/>
                <w:szCs w:val="28"/>
              </w:rPr>
              <w:t>Ємність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sz w:val="28"/>
                <w:szCs w:val="28"/>
              </w:rPr>
              <w:t>масляної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sz w:val="28"/>
                <w:szCs w:val="28"/>
              </w:rPr>
              <w:t>системи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, 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sz w:val="28"/>
                <w:szCs w:val="28"/>
                <w:lang w:val="en-US"/>
              </w:rPr>
            </w:pPr>
            <w:r w:rsidRPr="008011AF">
              <w:rPr>
                <w:rFonts w:eastAsia="Arial"/>
                <w:sz w:val="28"/>
                <w:szCs w:val="28"/>
              </w:rPr>
              <w:t>1,</w:t>
            </w:r>
            <w:r w:rsidRPr="008011AF">
              <w:rPr>
                <w:rFonts w:eastAsia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sz w:val="28"/>
                <w:szCs w:val="28"/>
                <w:lang w:val="en-US"/>
              </w:rPr>
            </w:pPr>
            <w:proofErr w:type="spellStart"/>
            <w:r w:rsidRPr="008011AF">
              <w:rPr>
                <w:rFonts w:eastAsia="Arial"/>
                <w:sz w:val="28"/>
                <w:szCs w:val="28"/>
              </w:rPr>
              <w:t>Гарантійний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sz w:val="28"/>
                <w:szCs w:val="28"/>
              </w:rPr>
              <w:t>термін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, </w:t>
            </w:r>
            <w:proofErr w:type="spellStart"/>
            <w:r w:rsidRPr="008011AF">
              <w:rPr>
                <w:rFonts w:eastAsia="Arial"/>
                <w:sz w:val="28"/>
                <w:szCs w:val="28"/>
              </w:rPr>
              <w:t>місяців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sz w:val="28"/>
                <w:szCs w:val="28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</w:tbl>
    <w:p w:rsidR="008011AF" w:rsidRDefault="008011AF" w:rsidP="008011AF">
      <w:pPr>
        <w:rPr>
          <w:sz w:val="28"/>
          <w:szCs w:val="28"/>
        </w:rPr>
      </w:pPr>
    </w:p>
    <w:p w:rsidR="008011AF" w:rsidRDefault="008011AF" w:rsidP="008011AF">
      <w:pPr>
        <w:rPr>
          <w:sz w:val="28"/>
          <w:szCs w:val="28"/>
        </w:rPr>
      </w:pPr>
    </w:p>
    <w:p w:rsidR="008011AF" w:rsidRDefault="008011AF" w:rsidP="008011AF">
      <w:pPr>
        <w:rPr>
          <w:sz w:val="28"/>
          <w:szCs w:val="28"/>
        </w:rPr>
      </w:pPr>
    </w:p>
    <w:p w:rsidR="008011AF" w:rsidRPr="008011AF" w:rsidRDefault="008011AF" w:rsidP="008011AF">
      <w:pPr>
        <w:rPr>
          <w:sz w:val="28"/>
          <w:szCs w:val="28"/>
        </w:rPr>
      </w:pPr>
    </w:p>
    <w:p w:rsidR="00757BB4" w:rsidRDefault="00404D34" w:rsidP="00757BB4">
      <w:pPr>
        <w:tabs>
          <w:tab w:val="left" w:pos="1134"/>
        </w:tabs>
        <w:ind w:left="360"/>
        <w:jc w:val="both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  <w:lang w:val="uk-UA"/>
        </w:rPr>
        <w:t xml:space="preserve">3. </w:t>
      </w:r>
      <w:proofErr w:type="spellStart"/>
      <w:r>
        <w:rPr>
          <w:rFonts w:eastAsia="Arial"/>
          <w:b/>
          <w:color w:val="000000"/>
          <w:sz w:val="28"/>
          <w:szCs w:val="28"/>
        </w:rPr>
        <w:t>Бензиновий</w:t>
      </w:r>
      <w:proofErr w:type="spellEnd"/>
      <w:r>
        <w:rPr>
          <w:rFonts w:eastAsia="Arial"/>
          <w:b/>
          <w:color w:val="000000"/>
          <w:sz w:val="28"/>
          <w:szCs w:val="28"/>
        </w:rPr>
        <w:t xml:space="preserve"> генератор 8</w:t>
      </w:r>
      <w:r w:rsidRPr="00757BB4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757BB4">
        <w:rPr>
          <w:rFonts w:eastAsia="Arial"/>
          <w:b/>
          <w:color w:val="000000"/>
          <w:sz w:val="28"/>
          <w:szCs w:val="28"/>
        </w:rPr>
        <w:t>кВа</w:t>
      </w:r>
      <w:proofErr w:type="spellEnd"/>
      <w:r w:rsidRPr="00757BB4">
        <w:rPr>
          <w:rFonts w:eastAsia="Arial"/>
          <w:b/>
          <w:color w:val="000000"/>
          <w:sz w:val="28"/>
          <w:szCs w:val="28"/>
        </w:rPr>
        <w:t xml:space="preserve"> – </w:t>
      </w:r>
      <w:r>
        <w:rPr>
          <w:rFonts w:eastAsia="Arial"/>
          <w:b/>
          <w:color w:val="000000"/>
          <w:sz w:val="28"/>
          <w:szCs w:val="28"/>
          <w:lang w:val="uk-UA"/>
        </w:rPr>
        <w:t>18</w:t>
      </w:r>
      <w:r w:rsidRPr="00757BB4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757BB4">
        <w:rPr>
          <w:rFonts w:eastAsia="Arial"/>
          <w:b/>
          <w:color w:val="000000"/>
          <w:sz w:val="28"/>
          <w:szCs w:val="28"/>
        </w:rPr>
        <w:t>одиниць</w:t>
      </w:r>
      <w:proofErr w:type="spellEnd"/>
    </w:p>
    <w:tbl>
      <w:tblPr>
        <w:tblW w:w="1101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559"/>
        <w:gridCol w:w="1939"/>
      </w:tblGrid>
      <w:tr w:rsidR="00404D34" w:rsidRPr="008011AF" w:rsidTr="00FA056A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ind w:right="608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 xml:space="preserve"> параметру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Значення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Критерій</w:t>
            </w:r>
            <w:proofErr w:type="spellEnd"/>
          </w:p>
        </w:tc>
      </w:tr>
      <w:tr w:rsidR="00404D34" w:rsidRPr="008011AF" w:rsidTr="00FA056A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номінальна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>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404D34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404D34" w:rsidRPr="008011AF" w:rsidTr="00FA056A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максимальна,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404D34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  <w:lang w:val="uk-UA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8</w:t>
            </w:r>
            <w:r>
              <w:rPr>
                <w:rFonts w:eastAsia="Arial"/>
                <w:color w:val="000000"/>
                <w:sz w:val="28"/>
                <w:szCs w:val="28"/>
                <w:lang w:val="uk-UA"/>
              </w:rPr>
              <w:t>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404D34" w:rsidRPr="008011AF" w:rsidTr="00FA056A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D34" w:rsidRPr="008011AF" w:rsidRDefault="00404D3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Кількість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фаз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404D34" w:rsidRPr="008011AF" w:rsidTr="00FA056A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Довжина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ДГ,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404D34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uk-UA"/>
              </w:rPr>
              <w:t>700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404D34" w:rsidRPr="008011AF" w:rsidTr="00FA056A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Ширина  ДГ,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404D34" w:rsidRDefault="00404D34" w:rsidP="00404D34">
            <w:pPr>
              <w:jc w:val="center"/>
              <w:rPr>
                <w:rFonts w:eastAsia="Arial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uk-UA"/>
              </w:rPr>
              <w:t>525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404D34" w:rsidRPr="008011AF" w:rsidTr="00FA056A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Висота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ДГ,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404D34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uk-UA"/>
              </w:rPr>
              <w:t>560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404D34" w:rsidRPr="008011AF" w:rsidTr="00FA056A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D34" w:rsidRPr="008011AF" w:rsidRDefault="00404D3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Клас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захисту альтернатора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  <w:lang w:val="en-US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  <w:lang w:val="en-US"/>
              </w:rPr>
              <w:t>IP23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гірше</w:t>
            </w:r>
            <w:proofErr w:type="spellEnd"/>
          </w:p>
        </w:tc>
      </w:tr>
      <w:tr w:rsidR="00404D34" w:rsidRPr="008011AF" w:rsidTr="00FA056A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Коефіцієнт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потужності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404D34" w:rsidRPr="008011AF" w:rsidTr="00FA056A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Напрацювання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першого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ТО,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мотогодин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404D34" w:rsidRPr="008011AF" w:rsidTr="00FA056A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Міжсервісний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інтервал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мотогодин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404D34" w:rsidRPr="008011AF" w:rsidTr="00FA056A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Гарантійний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термін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місяців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>/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мотогодин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24/2000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34" w:rsidRPr="008011AF" w:rsidRDefault="00404D3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</w:tbl>
    <w:p w:rsidR="00404D34" w:rsidRDefault="00404D34" w:rsidP="00757BB4">
      <w:pPr>
        <w:tabs>
          <w:tab w:val="left" w:pos="1134"/>
        </w:tabs>
        <w:ind w:left="360"/>
        <w:jc w:val="both"/>
        <w:rPr>
          <w:rFonts w:eastAsia="Arial"/>
          <w:b/>
          <w:color w:val="000000"/>
          <w:sz w:val="28"/>
          <w:szCs w:val="28"/>
          <w:lang w:val="uk-UA"/>
        </w:rPr>
      </w:pPr>
    </w:p>
    <w:p w:rsidR="008011AF" w:rsidRPr="00757BB4" w:rsidRDefault="00757BB4" w:rsidP="00757BB4">
      <w:pPr>
        <w:tabs>
          <w:tab w:val="left" w:pos="1134"/>
        </w:tabs>
        <w:ind w:left="360"/>
        <w:jc w:val="both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  <w:lang w:val="uk-UA"/>
        </w:rPr>
        <w:t xml:space="preserve">4.  </w:t>
      </w:r>
      <w:proofErr w:type="spellStart"/>
      <w:r w:rsidR="008011AF" w:rsidRPr="00757BB4">
        <w:rPr>
          <w:rFonts w:eastAsia="Arial"/>
          <w:b/>
          <w:color w:val="000000"/>
          <w:sz w:val="28"/>
          <w:szCs w:val="28"/>
        </w:rPr>
        <w:t>Бензиновий</w:t>
      </w:r>
      <w:proofErr w:type="spellEnd"/>
      <w:r w:rsidR="008011AF" w:rsidRPr="00757BB4">
        <w:rPr>
          <w:rFonts w:eastAsia="Arial"/>
          <w:b/>
          <w:color w:val="000000"/>
          <w:sz w:val="28"/>
          <w:szCs w:val="28"/>
        </w:rPr>
        <w:t xml:space="preserve"> генератор 7,5 </w:t>
      </w:r>
      <w:proofErr w:type="spellStart"/>
      <w:r w:rsidR="008011AF" w:rsidRPr="00757BB4">
        <w:rPr>
          <w:rFonts w:eastAsia="Arial"/>
          <w:b/>
          <w:color w:val="000000"/>
          <w:sz w:val="28"/>
          <w:szCs w:val="28"/>
        </w:rPr>
        <w:t>кВа</w:t>
      </w:r>
      <w:proofErr w:type="spellEnd"/>
      <w:r w:rsidR="008011AF" w:rsidRPr="00757BB4">
        <w:rPr>
          <w:rFonts w:eastAsia="Arial"/>
          <w:b/>
          <w:color w:val="000000"/>
          <w:sz w:val="28"/>
          <w:szCs w:val="28"/>
        </w:rPr>
        <w:t xml:space="preserve"> – </w:t>
      </w:r>
      <w:r w:rsidRPr="00757BB4">
        <w:rPr>
          <w:rFonts w:eastAsia="Arial"/>
          <w:b/>
          <w:color w:val="000000"/>
          <w:sz w:val="28"/>
          <w:szCs w:val="28"/>
          <w:lang w:val="uk-UA"/>
        </w:rPr>
        <w:t>20</w:t>
      </w:r>
      <w:r w:rsidR="008011AF" w:rsidRPr="00757BB4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="008011AF" w:rsidRPr="00757BB4">
        <w:rPr>
          <w:rFonts w:eastAsia="Arial"/>
          <w:b/>
          <w:color w:val="000000"/>
          <w:sz w:val="28"/>
          <w:szCs w:val="28"/>
        </w:rPr>
        <w:t>одиниць</w:t>
      </w:r>
      <w:proofErr w:type="spellEnd"/>
    </w:p>
    <w:tbl>
      <w:tblPr>
        <w:tblW w:w="1101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559"/>
        <w:gridCol w:w="1939"/>
      </w:tblGrid>
      <w:tr w:rsidR="008011AF" w:rsidRPr="008011AF" w:rsidTr="008011A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8011AF">
            <w:pPr>
              <w:ind w:right="608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 xml:space="preserve"> параметру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Значення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Критерій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номінальна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>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максимальна,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Кількість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фаз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Довжина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ДГ,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Ширина  ДГ,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Висота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ДГ,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Клас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захисту альтернатора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  <w:lang w:val="en-US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  <w:lang w:val="en-US"/>
              </w:rPr>
              <w:t>IP23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гірше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Коефіцієнт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потужності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Напрацювання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першого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ТО,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мотогодин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Міжсервісний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інтервал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мотогодин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Гарантійний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термін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місяців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>/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мотогодин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24/2000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</w:tbl>
    <w:p w:rsidR="008011AF" w:rsidRDefault="008011AF" w:rsidP="008011AF">
      <w:pPr>
        <w:pStyle w:val="a6"/>
        <w:tabs>
          <w:tab w:val="left" w:pos="1134"/>
        </w:tabs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57BB4" w:rsidRPr="00757BB4" w:rsidRDefault="00757BB4" w:rsidP="00757BB4">
      <w:pPr>
        <w:tabs>
          <w:tab w:val="left" w:pos="1134"/>
        </w:tabs>
        <w:ind w:left="360"/>
        <w:jc w:val="both"/>
        <w:rPr>
          <w:rFonts w:eastAsia="Arial"/>
          <w:b/>
          <w:color w:val="000000"/>
          <w:sz w:val="28"/>
          <w:szCs w:val="28"/>
        </w:rPr>
      </w:pPr>
      <w:bookmarkStart w:id="1" w:name="_Hlk123365109"/>
      <w:r>
        <w:rPr>
          <w:rFonts w:eastAsia="Arial"/>
          <w:b/>
          <w:color w:val="000000"/>
          <w:sz w:val="28"/>
          <w:szCs w:val="28"/>
          <w:lang w:val="uk-UA"/>
        </w:rPr>
        <w:t xml:space="preserve">5.  </w:t>
      </w:r>
      <w:proofErr w:type="spellStart"/>
      <w:r w:rsidRPr="00757BB4">
        <w:rPr>
          <w:rFonts w:eastAsia="Arial"/>
          <w:b/>
          <w:color w:val="000000"/>
          <w:sz w:val="28"/>
          <w:szCs w:val="28"/>
        </w:rPr>
        <w:t>Дизельний</w:t>
      </w:r>
      <w:proofErr w:type="spellEnd"/>
      <w:r w:rsidRPr="00757BB4">
        <w:rPr>
          <w:rFonts w:eastAsia="Arial"/>
          <w:b/>
          <w:color w:val="000000"/>
          <w:sz w:val="28"/>
          <w:szCs w:val="28"/>
        </w:rPr>
        <w:t xml:space="preserve"> генератор 30 кВт – 5 </w:t>
      </w:r>
      <w:proofErr w:type="spellStart"/>
      <w:r w:rsidRPr="00757BB4">
        <w:rPr>
          <w:rFonts w:eastAsia="Arial"/>
          <w:b/>
          <w:color w:val="000000"/>
          <w:sz w:val="28"/>
          <w:szCs w:val="28"/>
        </w:rPr>
        <w:t>одиниць</w:t>
      </w:r>
      <w:proofErr w:type="spellEnd"/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560"/>
        <w:gridCol w:w="1984"/>
      </w:tblGrid>
      <w:tr w:rsidR="00757BB4" w:rsidRPr="003A79FD" w:rsidTr="00757BB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757BB4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757BB4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b/>
                <w:bCs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757BB4">
              <w:rPr>
                <w:rFonts w:eastAsia="Arial"/>
                <w:b/>
                <w:bCs/>
                <w:color w:val="000000"/>
                <w:sz w:val="28"/>
                <w:szCs w:val="28"/>
              </w:rPr>
              <w:t xml:space="preserve"> параметру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757BB4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b/>
                <w:bCs/>
                <w:color w:val="000000"/>
                <w:sz w:val="28"/>
                <w:szCs w:val="28"/>
              </w:rPr>
              <w:t>Значення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757BB4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b/>
                <w:bCs/>
                <w:color w:val="000000"/>
                <w:sz w:val="28"/>
                <w:szCs w:val="28"/>
              </w:rPr>
              <w:t>Критерій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номінальна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>, кВт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номінальна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>, кВт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максимальна, кВт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максимальна, кВт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Номінальна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напруга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>,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Максимальний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струм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навантаження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>,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Номінальний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струм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навантаження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>,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Кількість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фаз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Довжина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ДГ,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2260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Ширина  ДГ,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Висота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ДГ,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Місткість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паливного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баку, 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Вага ДГ (без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палива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>), 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Витрата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палива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при 100%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навантаження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>, л/год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Витрата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палива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при 75%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навантаження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>, л/год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Витрата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палива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при 50%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навантаження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>, л/год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Кількість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обертів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колінчатого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валу на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хвилину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Номінальна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двигуна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кВт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Ємність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масляної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системи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, 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Ємність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системи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охолодження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двигуна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, 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Номінальна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альтернатора кВт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Енергоефективність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альтернатора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86,6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Клас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захисту альтернатора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  <w:lang w:val="en-US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  <w:lang w:val="en-US"/>
              </w:rPr>
              <w:t>IP23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гірше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Коефіцієнт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потужності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Напрацювання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першого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ТО,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мотогодин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Міжсервісний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інтервал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мотогодин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Гарантійний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термін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місяців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>/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мотогодин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24/2000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bookmarkEnd w:id="1"/>
    </w:tbl>
    <w:p w:rsidR="00757BB4" w:rsidRPr="00757BB4" w:rsidRDefault="00757BB4" w:rsidP="00757BB4">
      <w:pPr>
        <w:pStyle w:val="a6"/>
        <w:tabs>
          <w:tab w:val="left" w:pos="1134"/>
        </w:tabs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57BB4" w:rsidRPr="00757BB4" w:rsidRDefault="00757BB4" w:rsidP="00757BB4">
      <w:pPr>
        <w:tabs>
          <w:tab w:val="left" w:pos="1134"/>
        </w:tabs>
        <w:ind w:left="360"/>
        <w:jc w:val="both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  <w:lang w:val="uk-UA"/>
        </w:rPr>
        <w:t xml:space="preserve">6.  </w:t>
      </w:r>
      <w:proofErr w:type="spellStart"/>
      <w:r w:rsidRPr="00757BB4">
        <w:rPr>
          <w:rFonts w:eastAsia="Arial"/>
          <w:b/>
          <w:color w:val="000000"/>
          <w:sz w:val="28"/>
          <w:szCs w:val="28"/>
        </w:rPr>
        <w:t>Дизельний</w:t>
      </w:r>
      <w:proofErr w:type="spellEnd"/>
      <w:r w:rsidRPr="00757BB4">
        <w:rPr>
          <w:rFonts w:eastAsia="Arial"/>
          <w:b/>
          <w:color w:val="000000"/>
          <w:sz w:val="28"/>
          <w:szCs w:val="28"/>
        </w:rPr>
        <w:t xml:space="preserve"> генератор 50 кВт – 2 </w:t>
      </w:r>
      <w:proofErr w:type="spellStart"/>
      <w:r w:rsidRPr="00757BB4">
        <w:rPr>
          <w:rFonts w:eastAsia="Arial"/>
          <w:b/>
          <w:color w:val="000000"/>
          <w:sz w:val="28"/>
          <w:szCs w:val="28"/>
        </w:rPr>
        <w:t>одиниці</w:t>
      </w:r>
      <w:proofErr w:type="spellEnd"/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560"/>
        <w:gridCol w:w="1984"/>
      </w:tblGrid>
      <w:tr w:rsidR="00757BB4" w:rsidRPr="00757BB4" w:rsidTr="00757BB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b/>
                <w:bCs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757BB4">
              <w:rPr>
                <w:rFonts w:eastAsia="Arial"/>
                <w:b/>
                <w:bCs/>
                <w:color w:val="000000"/>
                <w:sz w:val="28"/>
                <w:szCs w:val="28"/>
              </w:rPr>
              <w:t xml:space="preserve"> параметру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b/>
                <w:bCs/>
                <w:color w:val="000000"/>
                <w:sz w:val="28"/>
                <w:szCs w:val="28"/>
              </w:rPr>
              <w:t>Значення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b/>
                <w:bCs/>
                <w:color w:val="000000"/>
                <w:sz w:val="28"/>
                <w:szCs w:val="28"/>
              </w:rPr>
              <w:t>Критерій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номінальна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>, кВт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номінальна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>, кВт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максимальна, кВт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максимальна, кВт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Напруга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>,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230/400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Кількість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фаз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Довжина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ДГ,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2300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Ширина  ДГ,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Висота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ДГ,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Об’єм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паливного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баку, 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Вага ДГ з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усіма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робочими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рідинами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в т.ч.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паливом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на 100%, 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Кількість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обертів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колінчатого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валу на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хвилину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двигуна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кВт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Ємність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масляної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системи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, 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Ємність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системи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охолодження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двигуна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, 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Діаметр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вихлопної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труби,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Клас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захисту альтернатора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  <w:lang w:val="en-US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  <w:lang w:val="en-US"/>
              </w:rPr>
              <w:t>IP23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гірше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Коефіцієнт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потужності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Напрацювання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першого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ТО,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мотогодин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Міжсервісний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інтервал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мотогодин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757BB4" w:rsidRPr="00757BB4" w:rsidTr="00757BB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Гарантійний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термін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місяців</w:t>
            </w:r>
            <w:proofErr w:type="spellEnd"/>
            <w:r w:rsidRPr="00757BB4">
              <w:rPr>
                <w:rFonts w:eastAsia="Arial"/>
                <w:color w:val="000000"/>
                <w:sz w:val="28"/>
                <w:szCs w:val="28"/>
              </w:rPr>
              <w:t>/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мотогодин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>24/2000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757BB4" w:rsidRDefault="00757BB4" w:rsidP="00FA056A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757BB4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57BB4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</w:tbl>
    <w:p w:rsidR="00757BB4" w:rsidRPr="008011AF" w:rsidRDefault="00757BB4" w:rsidP="008011AF">
      <w:pPr>
        <w:pStyle w:val="a6"/>
        <w:tabs>
          <w:tab w:val="left" w:pos="1134"/>
        </w:tabs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404D34" w:rsidRDefault="00404D34" w:rsidP="008011AF">
      <w:pPr>
        <w:ind w:firstLine="567"/>
        <w:jc w:val="both"/>
        <w:rPr>
          <w:b/>
          <w:i/>
          <w:sz w:val="27"/>
          <w:szCs w:val="27"/>
          <w:u w:val="single"/>
        </w:rPr>
      </w:pPr>
    </w:p>
    <w:p w:rsidR="008011AF" w:rsidRPr="008011AF" w:rsidRDefault="008011AF" w:rsidP="008011AF">
      <w:pPr>
        <w:ind w:firstLine="567"/>
        <w:jc w:val="both"/>
        <w:rPr>
          <w:b/>
          <w:i/>
          <w:sz w:val="27"/>
          <w:szCs w:val="27"/>
          <w:u w:val="single"/>
        </w:rPr>
      </w:pPr>
      <w:proofErr w:type="spellStart"/>
      <w:r w:rsidRPr="008011AF">
        <w:rPr>
          <w:b/>
          <w:i/>
          <w:sz w:val="27"/>
          <w:szCs w:val="27"/>
          <w:u w:val="single"/>
        </w:rPr>
        <w:t>Загальні</w:t>
      </w:r>
      <w:proofErr w:type="spellEnd"/>
      <w:r w:rsidRPr="008011AF">
        <w:rPr>
          <w:b/>
          <w:i/>
          <w:sz w:val="27"/>
          <w:szCs w:val="27"/>
          <w:u w:val="single"/>
        </w:rPr>
        <w:t xml:space="preserve"> </w:t>
      </w:r>
      <w:proofErr w:type="spellStart"/>
      <w:r w:rsidRPr="008011AF">
        <w:rPr>
          <w:b/>
          <w:i/>
          <w:sz w:val="27"/>
          <w:szCs w:val="27"/>
          <w:u w:val="single"/>
        </w:rPr>
        <w:t>документи</w:t>
      </w:r>
      <w:proofErr w:type="spellEnd"/>
      <w:r w:rsidRPr="008011AF">
        <w:rPr>
          <w:b/>
          <w:i/>
          <w:sz w:val="27"/>
          <w:szCs w:val="27"/>
          <w:u w:val="single"/>
        </w:rPr>
        <w:t>:</w:t>
      </w:r>
    </w:p>
    <w:p w:rsidR="008011AF" w:rsidRPr="008011AF" w:rsidRDefault="008011AF" w:rsidP="008011AF">
      <w:pPr>
        <w:tabs>
          <w:tab w:val="left" w:pos="1276"/>
        </w:tabs>
        <w:ind w:firstLine="567"/>
        <w:jc w:val="both"/>
        <w:rPr>
          <w:noProof/>
          <w:sz w:val="27"/>
          <w:szCs w:val="27"/>
        </w:rPr>
      </w:pPr>
      <w:r w:rsidRPr="008011AF">
        <w:rPr>
          <w:noProof/>
          <w:sz w:val="27"/>
          <w:szCs w:val="27"/>
        </w:rPr>
        <w:t xml:space="preserve">1. Гарантійний лист, що обладнання є новим (таким, що не було в експлуатації), і надаватиметься у комплекті з керівництвами з експлуатації українською мовою, гарантійними талонами, тощо. </w:t>
      </w:r>
    </w:p>
    <w:p w:rsidR="008011AF" w:rsidRPr="008011AF" w:rsidRDefault="008011AF" w:rsidP="008011AF">
      <w:pPr>
        <w:tabs>
          <w:tab w:val="left" w:pos="1276"/>
        </w:tabs>
        <w:ind w:firstLine="567"/>
        <w:jc w:val="both"/>
        <w:rPr>
          <w:noProof/>
          <w:sz w:val="27"/>
          <w:szCs w:val="27"/>
        </w:rPr>
      </w:pPr>
      <w:r w:rsidRPr="008011AF">
        <w:rPr>
          <w:noProof/>
          <w:sz w:val="27"/>
          <w:szCs w:val="27"/>
        </w:rPr>
        <w:t xml:space="preserve">2. Гарантійний лист про те, що всі основні  компоненти  товару будуть оригінальними, заміна компонентів на не неоригінальні забороняється. </w:t>
      </w:r>
    </w:p>
    <w:p w:rsidR="008011AF" w:rsidRPr="008011AF" w:rsidRDefault="008011AF" w:rsidP="008011AF">
      <w:pPr>
        <w:tabs>
          <w:tab w:val="left" w:pos="1276"/>
        </w:tabs>
        <w:ind w:firstLine="567"/>
        <w:jc w:val="both"/>
        <w:rPr>
          <w:noProof/>
          <w:sz w:val="27"/>
          <w:szCs w:val="27"/>
        </w:rPr>
      </w:pPr>
      <w:r w:rsidRPr="008011AF">
        <w:rPr>
          <w:noProof/>
          <w:sz w:val="27"/>
          <w:szCs w:val="27"/>
        </w:rPr>
        <w:t>3. Гарантійний лист про те, що технічні, якісні характеристики Товару за предметом закупівлі повинні відповідати встановленим/зареєстрованим нормативним актам діючого законодавства (державним стандартам), які передбачають застосування заходів із захисту довкілля.</w:t>
      </w:r>
    </w:p>
    <w:p w:rsidR="008011AF" w:rsidRPr="008011AF" w:rsidRDefault="008011AF" w:rsidP="008011AF">
      <w:pPr>
        <w:tabs>
          <w:tab w:val="left" w:pos="1276"/>
        </w:tabs>
        <w:ind w:firstLine="567"/>
        <w:jc w:val="both"/>
        <w:rPr>
          <w:noProof/>
          <w:sz w:val="27"/>
          <w:szCs w:val="27"/>
        </w:rPr>
      </w:pPr>
      <w:r w:rsidRPr="008011AF">
        <w:rPr>
          <w:noProof/>
          <w:sz w:val="27"/>
          <w:szCs w:val="27"/>
        </w:rPr>
        <w:t xml:space="preserve">4. Гарантійний лист про те, що всі транспортні послуги та інші витрати (пакування, доставка) будуть здійснюватися за рахунок Учасника. </w:t>
      </w:r>
    </w:p>
    <w:p w:rsidR="008011AF" w:rsidRPr="008011AF" w:rsidRDefault="008011AF" w:rsidP="008011AF">
      <w:pPr>
        <w:tabs>
          <w:tab w:val="left" w:pos="1276"/>
        </w:tabs>
        <w:ind w:firstLine="567"/>
        <w:jc w:val="both"/>
        <w:rPr>
          <w:noProof/>
          <w:sz w:val="27"/>
          <w:szCs w:val="27"/>
        </w:rPr>
      </w:pPr>
      <w:r w:rsidRPr="008011AF">
        <w:rPr>
          <w:noProof/>
          <w:sz w:val="27"/>
          <w:szCs w:val="27"/>
        </w:rPr>
        <w:t xml:space="preserve">5. Учасник повинен надати порівняльну таблицю відповідності запропонованого товару технічним вимогам Замовника, які вказані в цьому </w:t>
      </w:r>
      <w:r w:rsidRPr="008011AF">
        <w:rPr>
          <w:noProof/>
          <w:sz w:val="27"/>
          <w:szCs w:val="27"/>
        </w:rPr>
        <w:lastRenderedPageBreak/>
        <w:t>Додатку. В таблиці обов’язково зазначається виробник та модель для перевірки відповідності технічних характеристик запропонованого Учасником обладнання.</w:t>
      </w:r>
    </w:p>
    <w:p w:rsidR="008011AF" w:rsidRPr="008011AF" w:rsidRDefault="008011AF" w:rsidP="008011AF">
      <w:pPr>
        <w:tabs>
          <w:tab w:val="left" w:pos="1276"/>
        </w:tabs>
        <w:ind w:firstLine="567"/>
        <w:jc w:val="both"/>
        <w:rPr>
          <w:noProof/>
          <w:sz w:val="27"/>
          <w:szCs w:val="27"/>
        </w:rPr>
      </w:pPr>
      <w:r w:rsidRPr="008011AF">
        <w:rPr>
          <w:noProof/>
          <w:sz w:val="27"/>
          <w:szCs w:val="27"/>
        </w:rPr>
        <w:t>6. Гарантійний лист про те, що поставка товару буде здійснена протягом 48 годин після підписання договору.</w:t>
      </w:r>
    </w:p>
    <w:p w:rsidR="008011AF" w:rsidRPr="008011AF" w:rsidRDefault="008011AF" w:rsidP="008011AF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8011AF">
        <w:rPr>
          <w:noProof/>
          <w:sz w:val="27"/>
          <w:szCs w:val="27"/>
        </w:rPr>
        <w:t xml:space="preserve">7. </w:t>
      </w:r>
      <w:r w:rsidRPr="008011AF">
        <w:rPr>
          <w:sz w:val="27"/>
          <w:szCs w:val="27"/>
        </w:rPr>
        <w:t xml:space="preserve">На </w:t>
      </w:r>
      <w:proofErr w:type="spellStart"/>
      <w:r w:rsidRPr="008011AF">
        <w:rPr>
          <w:sz w:val="27"/>
          <w:szCs w:val="27"/>
        </w:rPr>
        <w:t>етапі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кваліфікації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тендерної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пропозиції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учасника</w:t>
      </w:r>
      <w:proofErr w:type="spellEnd"/>
      <w:r w:rsidRPr="008011AF">
        <w:rPr>
          <w:sz w:val="27"/>
          <w:szCs w:val="27"/>
        </w:rPr>
        <w:t xml:space="preserve">, </w:t>
      </w:r>
      <w:proofErr w:type="spellStart"/>
      <w:r w:rsidRPr="008011AF">
        <w:rPr>
          <w:sz w:val="27"/>
          <w:szCs w:val="27"/>
        </w:rPr>
        <w:t>Замовник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має</w:t>
      </w:r>
      <w:proofErr w:type="spellEnd"/>
      <w:r w:rsidRPr="008011AF">
        <w:rPr>
          <w:sz w:val="27"/>
          <w:szCs w:val="27"/>
        </w:rPr>
        <w:t xml:space="preserve"> право </w:t>
      </w:r>
      <w:proofErr w:type="spellStart"/>
      <w:r w:rsidRPr="008011AF">
        <w:rPr>
          <w:sz w:val="27"/>
          <w:szCs w:val="27"/>
        </w:rPr>
        <w:t>запросити</w:t>
      </w:r>
      <w:proofErr w:type="spellEnd"/>
      <w:r w:rsidRPr="008011AF">
        <w:rPr>
          <w:sz w:val="27"/>
          <w:szCs w:val="27"/>
        </w:rPr>
        <w:t xml:space="preserve"> в </w:t>
      </w:r>
      <w:proofErr w:type="spellStart"/>
      <w:r w:rsidRPr="008011AF">
        <w:rPr>
          <w:sz w:val="27"/>
          <w:szCs w:val="27"/>
        </w:rPr>
        <w:t>учасника</w:t>
      </w:r>
      <w:proofErr w:type="spellEnd"/>
      <w:r w:rsidRPr="008011AF">
        <w:rPr>
          <w:sz w:val="27"/>
          <w:szCs w:val="27"/>
        </w:rPr>
        <w:t xml:space="preserve"> надання одного </w:t>
      </w:r>
      <w:proofErr w:type="spellStart"/>
      <w:r w:rsidRPr="008011AF">
        <w:rPr>
          <w:sz w:val="27"/>
          <w:szCs w:val="27"/>
        </w:rPr>
        <w:t>або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декількох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зразків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обладнання</w:t>
      </w:r>
      <w:proofErr w:type="spellEnd"/>
      <w:r w:rsidRPr="008011AF">
        <w:rPr>
          <w:sz w:val="27"/>
          <w:szCs w:val="27"/>
        </w:rPr>
        <w:t xml:space="preserve"> на </w:t>
      </w:r>
      <w:proofErr w:type="spellStart"/>
      <w:r w:rsidRPr="008011AF">
        <w:rPr>
          <w:sz w:val="27"/>
          <w:szCs w:val="27"/>
        </w:rPr>
        <w:t>вибір</w:t>
      </w:r>
      <w:proofErr w:type="spellEnd"/>
      <w:r w:rsidRPr="008011AF">
        <w:rPr>
          <w:sz w:val="27"/>
          <w:szCs w:val="27"/>
        </w:rPr>
        <w:t xml:space="preserve">. </w:t>
      </w:r>
      <w:proofErr w:type="spellStart"/>
      <w:r w:rsidRPr="008011AF">
        <w:rPr>
          <w:sz w:val="27"/>
          <w:szCs w:val="27"/>
        </w:rPr>
        <w:t>Демонстрація</w:t>
      </w:r>
      <w:proofErr w:type="spellEnd"/>
      <w:r w:rsidRPr="008011AF">
        <w:rPr>
          <w:sz w:val="27"/>
          <w:szCs w:val="27"/>
        </w:rPr>
        <w:t xml:space="preserve"> товару повинна </w:t>
      </w:r>
      <w:proofErr w:type="spellStart"/>
      <w:r w:rsidRPr="008011AF">
        <w:rPr>
          <w:sz w:val="27"/>
          <w:szCs w:val="27"/>
        </w:rPr>
        <w:t>проходити</w:t>
      </w:r>
      <w:proofErr w:type="spellEnd"/>
      <w:r w:rsidRPr="008011AF">
        <w:rPr>
          <w:sz w:val="27"/>
          <w:szCs w:val="27"/>
        </w:rPr>
        <w:t xml:space="preserve"> у </w:t>
      </w:r>
      <w:proofErr w:type="spellStart"/>
      <w:r w:rsidRPr="008011AF">
        <w:rPr>
          <w:sz w:val="27"/>
          <w:szCs w:val="27"/>
        </w:rPr>
        <w:t>присутності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уповноваженої</w:t>
      </w:r>
      <w:proofErr w:type="spellEnd"/>
      <w:r w:rsidRPr="008011AF">
        <w:rPr>
          <w:sz w:val="27"/>
          <w:szCs w:val="27"/>
        </w:rPr>
        <w:t xml:space="preserve"> особи </w:t>
      </w:r>
      <w:proofErr w:type="spellStart"/>
      <w:r w:rsidRPr="008011AF">
        <w:rPr>
          <w:sz w:val="27"/>
          <w:szCs w:val="27"/>
        </w:rPr>
        <w:t>учасника</w:t>
      </w:r>
      <w:proofErr w:type="spellEnd"/>
      <w:r w:rsidRPr="008011AF">
        <w:rPr>
          <w:sz w:val="27"/>
          <w:szCs w:val="27"/>
        </w:rPr>
        <w:t xml:space="preserve">. </w:t>
      </w:r>
      <w:proofErr w:type="spellStart"/>
      <w:r w:rsidRPr="008011AF">
        <w:rPr>
          <w:sz w:val="27"/>
          <w:szCs w:val="27"/>
        </w:rPr>
        <w:t>Учасник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зобов’язаний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надати</w:t>
      </w:r>
      <w:proofErr w:type="spellEnd"/>
      <w:r w:rsidRPr="008011AF">
        <w:rPr>
          <w:sz w:val="27"/>
          <w:szCs w:val="27"/>
        </w:rPr>
        <w:t xml:space="preserve"> у </w:t>
      </w:r>
      <w:proofErr w:type="spellStart"/>
      <w:r w:rsidRPr="008011AF">
        <w:rPr>
          <w:sz w:val="27"/>
          <w:szCs w:val="27"/>
        </w:rPr>
        <w:t>складі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своєї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пропозиції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гарантійний</w:t>
      </w:r>
      <w:proofErr w:type="spellEnd"/>
      <w:r w:rsidRPr="008011AF">
        <w:rPr>
          <w:sz w:val="27"/>
          <w:szCs w:val="27"/>
        </w:rPr>
        <w:t xml:space="preserve"> лист, </w:t>
      </w:r>
      <w:proofErr w:type="spellStart"/>
      <w:r w:rsidRPr="008011AF">
        <w:rPr>
          <w:sz w:val="27"/>
          <w:szCs w:val="27"/>
        </w:rPr>
        <w:t>що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підтверджує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можливість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демонстрації</w:t>
      </w:r>
      <w:proofErr w:type="spellEnd"/>
      <w:r w:rsidRPr="008011AF">
        <w:rPr>
          <w:sz w:val="27"/>
          <w:szCs w:val="27"/>
        </w:rPr>
        <w:t xml:space="preserve"> товару </w:t>
      </w:r>
      <w:proofErr w:type="spellStart"/>
      <w:r w:rsidRPr="008011AF">
        <w:rPr>
          <w:sz w:val="27"/>
          <w:szCs w:val="27"/>
        </w:rPr>
        <w:t>протягом</w:t>
      </w:r>
      <w:proofErr w:type="spellEnd"/>
      <w:r w:rsidRPr="008011AF">
        <w:rPr>
          <w:sz w:val="27"/>
          <w:szCs w:val="27"/>
        </w:rPr>
        <w:t xml:space="preserve"> 24 годин, у </w:t>
      </w:r>
      <w:proofErr w:type="spellStart"/>
      <w:r w:rsidRPr="008011AF">
        <w:rPr>
          <w:sz w:val="27"/>
          <w:szCs w:val="27"/>
        </w:rPr>
        <w:t>разі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вимоги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Замовника</w:t>
      </w:r>
      <w:proofErr w:type="spellEnd"/>
      <w:r w:rsidRPr="008011AF">
        <w:rPr>
          <w:sz w:val="27"/>
          <w:szCs w:val="27"/>
        </w:rPr>
        <w:t xml:space="preserve">. В </w:t>
      </w:r>
      <w:proofErr w:type="spellStart"/>
      <w:r w:rsidRPr="008011AF">
        <w:rPr>
          <w:sz w:val="27"/>
          <w:szCs w:val="27"/>
        </w:rPr>
        <w:t>разі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ненадання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Учасником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зразків</w:t>
      </w:r>
      <w:proofErr w:type="spellEnd"/>
      <w:r w:rsidRPr="008011AF">
        <w:rPr>
          <w:sz w:val="27"/>
          <w:szCs w:val="27"/>
        </w:rPr>
        <w:t xml:space="preserve"> товару </w:t>
      </w:r>
      <w:proofErr w:type="spellStart"/>
      <w:r w:rsidRPr="008011AF">
        <w:rPr>
          <w:sz w:val="27"/>
          <w:szCs w:val="27"/>
        </w:rPr>
        <w:t>або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відсутності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уповноваженої</w:t>
      </w:r>
      <w:proofErr w:type="spellEnd"/>
      <w:r w:rsidRPr="008011AF">
        <w:rPr>
          <w:sz w:val="27"/>
          <w:szCs w:val="27"/>
        </w:rPr>
        <w:t xml:space="preserve"> особи, </w:t>
      </w:r>
      <w:proofErr w:type="spellStart"/>
      <w:r w:rsidRPr="008011AF">
        <w:rPr>
          <w:sz w:val="27"/>
          <w:szCs w:val="27"/>
        </w:rPr>
        <w:t>пропозиція</w:t>
      </w:r>
      <w:proofErr w:type="spellEnd"/>
      <w:r w:rsidRPr="008011AF">
        <w:rPr>
          <w:sz w:val="27"/>
          <w:szCs w:val="27"/>
        </w:rPr>
        <w:t xml:space="preserve"> буде </w:t>
      </w:r>
      <w:proofErr w:type="spellStart"/>
      <w:r w:rsidRPr="008011AF">
        <w:rPr>
          <w:sz w:val="27"/>
          <w:szCs w:val="27"/>
        </w:rPr>
        <w:t>відхилена</w:t>
      </w:r>
      <w:proofErr w:type="spellEnd"/>
      <w:r w:rsidRPr="008011AF">
        <w:rPr>
          <w:sz w:val="27"/>
          <w:szCs w:val="27"/>
        </w:rPr>
        <w:t>.</w:t>
      </w:r>
    </w:p>
    <w:p w:rsidR="00F620EA" w:rsidRDefault="00F620EA" w:rsidP="002A5864">
      <w:pPr>
        <w:rPr>
          <w:lang w:val="uk-UA"/>
        </w:rPr>
      </w:pPr>
    </w:p>
    <w:sectPr w:rsidR="00F620EA" w:rsidSect="008011A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5BDD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2383E"/>
    <w:multiLevelType w:val="hybridMultilevel"/>
    <w:tmpl w:val="6374DE42"/>
    <w:lvl w:ilvl="0" w:tplc="A6800F26">
      <w:start w:val="2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056936"/>
    <w:multiLevelType w:val="hybridMultilevel"/>
    <w:tmpl w:val="0F9AFFE8"/>
    <w:lvl w:ilvl="0" w:tplc="80688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AA1D70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1C"/>
    <w:rsid w:val="00014ED2"/>
    <w:rsid w:val="0008328C"/>
    <w:rsid w:val="001C5D51"/>
    <w:rsid w:val="001D51A1"/>
    <w:rsid w:val="0025603B"/>
    <w:rsid w:val="002923DC"/>
    <w:rsid w:val="002A5864"/>
    <w:rsid w:val="002F137B"/>
    <w:rsid w:val="00315AB6"/>
    <w:rsid w:val="00323CE4"/>
    <w:rsid w:val="003A2A95"/>
    <w:rsid w:val="00404D34"/>
    <w:rsid w:val="00407711"/>
    <w:rsid w:val="005613DE"/>
    <w:rsid w:val="005B1897"/>
    <w:rsid w:val="005F1B17"/>
    <w:rsid w:val="00617DDC"/>
    <w:rsid w:val="00757BB4"/>
    <w:rsid w:val="008011AF"/>
    <w:rsid w:val="0084455E"/>
    <w:rsid w:val="00853C27"/>
    <w:rsid w:val="00921080"/>
    <w:rsid w:val="00970868"/>
    <w:rsid w:val="009848FA"/>
    <w:rsid w:val="00C20038"/>
    <w:rsid w:val="00C82A5D"/>
    <w:rsid w:val="00CD77A1"/>
    <w:rsid w:val="00CF7790"/>
    <w:rsid w:val="00D21432"/>
    <w:rsid w:val="00E75357"/>
    <w:rsid w:val="00E91216"/>
    <w:rsid w:val="00EB4702"/>
    <w:rsid w:val="00ED25E1"/>
    <w:rsid w:val="00EE1EF0"/>
    <w:rsid w:val="00F209F8"/>
    <w:rsid w:val="00F620EA"/>
    <w:rsid w:val="00FA056A"/>
    <w:rsid w:val="00FA121C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8898"/>
  <w15:docId w15:val="{7E0F7368-53ED-4DD6-84E1-0C6AB361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A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4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7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Нормальний текст"/>
    <w:basedOn w:val="a"/>
    <w:rsid w:val="002923DC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 Віталій Анатолійович</dc:creator>
  <cp:keywords/>
  <dc:description/>
  <cp:lastModifiedBy>Гулякін Руслан Олександрович</cp:lastModifiedBy>
  <cp:revision>4</cp:revision>
  <cp:lastPrinted>2022-11-14T11:17:00Z</cp:lastPrinted>
  <dcterms:created xsi:type="dcterms:W3CDTF">2023-04-28T08:55:00Z</dcterms:created>
  <dcterms:modified xsi:type="dcterms:W3CDTF">2023-05-01T12:53:00Z</dcterms:modified>
</cp:coreProperties>
</file>