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28" w:rsidRDefault="00CB2728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  <w:sz w:val="20"/>
          <w:szCs w:val="20"/>
        </w:rPr>
      </w:pPr>
    </w:p>
    <w:tbl>
      <w:tblPr>
        <w:tblStyle w:val="a6"/>
        <w:tblW w:w="10490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3119"/>
        <w:gridCol w:w="6946"/>
      </w:tblGrid>
      <w:tr w:rsidR="00CB2728" w:rsidTr="00681802">
        <w:tc>
          <w:tcPr>
            <w:tcW w:w="10490" w:type="dxa"/>
            <w:gridSpan w:val="3"/>
            <w:shd w:val="clear" w:color="auto" w:fill="auto"/>
          </w:tcPr>
          <w:p w:rsidR="00CB2728" w:rsidRPr="000679FC" w:rsidRDefault="00A37F24" w:rsidP="00574353">
            <w:pPr>
              <w:jc w:val="center"/>
              <w:rPr>
                <w:b/>
              </w:rPr>
            </w:pPr>
            <w:r w:rsidRPr="00A37F24">
              <w:rPr>
                <w:b/>
              </w:rPr>
      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      </w:r>
            <w:r w:rsidRPr="008D40F5">
              <w:rPr>
                <w:b/>
              </w:rPr>
              <w:t>(</w:t>
            </w:r>
            <w:r w:rsidR="00473B4E" w:rsidRPr="00473B4E">
              <w:rPr>
                <w:b/>
              </w:rPr>
              <w:t>закупівля UA-2025-03-31-010251-a</w:t>
            </w:r>
            <w:r w:rsidRPr="008D40F5">
              <w:rPr>
                <w:b/>
              </w:rPr>
              <w:t>)</w:t>
            </w:r>
          </w:p>
          <w:p w:rsidR="00681802" w:rsidRDefault="003F0A7E" w:rsidP="00574353">
            <w:pPr>
              <w:jc w:val="center"/>
              <w:rPr>
                <w:b/>
              </w:rPr>
            </w:pPr>
            <w:r w:rsidRPr="003F0A7E">
              <w:rPr>
                <w:b/>
              </w:rPr>
              <w:t>«Нове будівництво захисної споруди цивільного захисту (протирадіаційне укриття) на території СПШ №30 «Уні</w:t>
            </w:r>
            <w:r w:rsidR="00681802">
              <w:rPr>
                <w:b/>
              </w:rPr>
              <w:t xml:space="preserve">кум» СМР за адресою: м. Суми, </w:t>
            </w:r>
            <w:r w:rsidRPr="003F0A7E">
              <w:rPr>
                <w:b/>
              </w:rPr>
              <w:t>вул. Новоміської сотні, 7»</w:t>
            </w:r>
            <w:r w:rsidR="004E1CFC" w:rsidRPr="000679FC">
              <w:rPr>
                <w:b/>
              </w:rPr>
              <w:t xml:space="preserve"> </w:t>
            </w:r>
          </w:p>
          <w:p w:rsidR="006C430B" w:rsidRPr="000679FC" w:rsidRDefault="000679FC" w:rsidP="00574353">
            <w:pPr>
              <w:jc w:val="center"/>
              <w:rPr>
                <w:b/>
              </w:rPr>
            </w:pPr>
            <w:r w:rsidRPr="000679FC">
              <w:rPr>
                <w:b/>
              </w:rPr>
              <w:t>(ДК 021:2015, код 45214000-0 «Будівництво освітніх та науково-дослідних закладів»</w:t>
            </w:r>
            <w:r w:rsidR="006C430B" w:rsidRPr="000679FC">
              <w:rPr>
                <w:b/>
              </w:rPr>
              <w:t>)</w:t>
            </w:r>
            <w:r>
              <w:rPr>
                <w:b/>
              </w:rPr>
              <w:t xml:space="preserve">, </w:t>
            </w:r>
            <w:r w:rsidRPr="008D40F5">
              <w:rPr>
                <w:b/>
              </w:rPr>
              <w:t xml:space="preserve">очікувана вартість закупівлі </w:t>
            </w:r>
            <w:r w:rsidR="00473B4E">
              <w:rPr>
                <w:b/>
              </w:rPr>
              <w:t xml:space="preserve">64318141,20 </w:t>
            </w:r>
            <w:r w:rsidRPr="008D40F5">
              <w:rPr>
                <w:b/>
              </w:rPr>
              <w:t>грив</w:t>
            </w:r>
            <w:r w:rsidR="004E1CFC">
              <w:rPr>
                <w:b/>
              </w:rPr>
              <w:t>е</w:t>
            </w:r>
            <w:r w:rsidRPr="008D40F5">
              <w:rPr>
                <w:b/>
              </w:rPr>
              <w:t>н</w:t>
            </w:r>
            <w:r w:rsidR="004E1CFC">
              <w:rPr>
                <w:b/>
              </w:rPr>
              <w:t>ь</w:t>
            </w:r>
            <w:r w:rsidRPr="008D40F5">
              <w:rPr>
                <w:b/>
              </w:rPr>
              <w:t>.</w:t>
            </w:r>
          </w:p>
          <w:p w:rsidR="00CB2728" w:rsidRPr="00A37F24" w:rsidRDefault="00CB2728">
            <w:pPr>
              <w:spacing w:after="120"/>
              <w:jc w:val="center"/>
            </w:pPr>
          </w:p>
        </w:tc>
      </w:tr>
      <w:tr w:rsidR="00CB2728" w:rsidTr="00681802">
        <w:trPr>
          <w:trHeight w:val="1215"/>
        </w:trPr>
        <w:tc>
          <w:tcPr>
            <w:tcW w:w="425" w:type="dxa"/>
            <w:shd w:val="clear" w:color="auto" w:fill="auto"/>
          </w:tcPr>
          <w:p w:rsidR="00CB2728" w:rsidRPr="00A37F24" w:rsidRDefault="00A37F24">
            <w:r w:rsidRPr="00A37F24">
              <w:t>1</w:t>
            </w:r>
          </w:p>
        </w:tc>
        <w:tc>
          <w:tcPr>
            <w:tcW w:w="3119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Назва предмета закупівлі</w:t>
            </w:r>
          </w:p>
        </w:tc>
        <w:tc>
          <w:tcPr>
            <w:tcW w:w="6946" w:type="dxa"/>
            <w:shd w:val="clear" w:color="auto" w:fill="auto"/>
          </w:tcPr>
          <w:p w:rsidR="00CB2728" w:rsidRPr="00A37F24" w:rsidRDefault="00473B4E" w:rsidP="00681802">
            <w:pPr>
              <w:jc w:val="both"/>
            </w:pPr>
            <w:r w:rsidRPr="00473B4E">
              <w:rPr>
                <w:b/>
              </w:rPr>
              <w:t>«Нове будівництво захисної споруди цивільного захисту (протирадіаційне укриття) на території СПШ №30 «Унікум» СМР за адресою: м. Суми, вул. Новоміської сотні, 7»</w:t>
            </w:r>
            <w:r w:rsidR="00BD763A" w:rsidRPr="000679FC">
              <w:rPr>
                <w:b/>
              </w:rPr>
              <w:t xml:space="preserve"> (ДК 021:2015, код 45214000-0 «Будівництво освітніх та науково-дослідних закладів»)</w:t>
            </w:r>
          </w:p>
        </w:tc>
      </w:tr>
      <w:tr w:rsidR="00CB2728" w:rsidTr="00681802">
        <w:tc>
          <w:tcPr>
            <w:tcW w:w="425" w:type="dxa"/>
            <w:shd w:val="clear" w:color="auto" w:fill="auto"/>
          </w:tcPr>
          <w:p w:rsidR="00CB2728" w:rsidRPr="00A37F24" w:rsidRDefault="00A37F24">
            <w:r w:rsidRPr="00A37F24">
              <w:t>2</w:t>
            </w:r>
          </w:p>
        </w:tc>
        <w:tc>
          <w:tcPr>
            <w:tcW w:w="3119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946" w:type="dxa"/>
            <w:shd w:val="clear" w:color="auto" w:fill="auto"/>
          </w:tcPr>
          <w:p w:rsidR="005228FB" w:rsidRPr="00EF6F99" w:rsidRDefault="009B1FCA" w:rsidP="005228FB">
            <w:pPr>
              <w:autoSpaceDE w:val="0"/>
              <w:autoSpaceDN w:val="0"/>
              <w:adjustRightInd w:val="0"/>
              <w:jc w:val="both"/>
            </w:pPr>
            <w:r w:rsidRPr="009B1FCA">
              <w:t>Технічні та якісні характеристики предмета закупівлі складені відповідно до норм чинного законодавства і зазначені в тендерній документації</w:t>
            </w:r>
            <w:r>
              <w:t xml:space="preserve">. </w:t>
            </w:r>
            <w:proofErr w:type="spellStart"/>
            <w:r>
              <w:t>Проєктна</w:t>
            </w:r>
            <w:proofErr w:type="spellEnd"/>
            <w:r>
              <w:t xml:space="preserve"> документація розроблена</w:t>
            </w:r>
            <w:r w:rsidRPr="009B1FCA">
              <w:t xml:space="preserve"> </w:t>
            </w:r>
            <w:r>
              <w:t xml:space="preserve">на підставі </w:t>
            </w:r>
            <w:r w:rsidRPr="009B1FCA">
              <w:t>завдання замовника на проєктування</w:t>
            </w:r>
            <w:r w:rsidR="00B12B67">
              <w:t>.</w:t>
            </w:r>
            <w:r w:rsidR="00A37F24" w:rsidRPr="009B1FCA">
              <w:t xml:space="preserve"> </w:t>
            </w:r>
            <w:proofErr w:type="spellStart"/>
            <w:r>
              <w:t>П</w:t>
            </w:r>
            <w:r w:rsidR="00A37F24" w:rsidRPr="009B1FCA">
              <w:t>ро</w:t>
            </w:r>
            <w:r>
              <w:t>є</w:t>
            </w:r>
            <w:bookmarkStart w:id="0" w:name="_GoBack"/>
            <w:bookmarkEnd w:id="0"/>
            <w:r w:rsidR="00A37F24" w:rsidRPr="009B1FCA">
              <w:t>ктн</w:t>
            </w:r>
            <w:r>
              <w:t>ою</w:t>
            </w:r>
            <w:proofErr w:type="spellEnd"/>
            <w:r w:rsidR="00A37F24" w:rsidRPr="009B1FCA">
              <w:t xml:space="preserve"> документаці</w:t>
            </w:r>
            <w:r>
              <w:t>є</w:t>
            </w:r>
            <w:r w:rsidR="00A37F24" w:rsidRPr="009B1FCA">
              <w:t xml:space="preserve">ю по об’єкту </w:t>
            </w:r>
            <w:r w:rsidR="005228FB" w:rsidRPr="005228FB">
              <w:t>«Нове будівництво захисної споруди цивільного захисту (протирадіаційне укриття) на території СПШ №30 «Унікум» СМР за адресою: м. Суми,</w:t>
            </w:r>
            <w:r w:rsidR="00742743">
              <w:t xml:space="preserve"> </w:t>
            </w:r>
            <w:r w:rsidR="005228FB" w:rsidRPr="005228FB">
              <w:t>вул. Новоміської сотні, 7»</w:t>
            </w:r>
            <w:r w:rsidR="00BD763A" w:rsidRPr="00BD763A">
              <w:t xml:space="preserve"> </w:t>
            </w:r>
            <w:r w:rsidR="005228FB" w:rsidRPr="005228FB">
              <w:rPr>
                <w:lang w:val="ru-RU"/>
              </w:rPr>
              <w:t xml:space="preserve">передбачено </w:t>
            </w:r>
            <w:r w:rsidR="005228FB" w:rsidRPr="00EF6F99">
              <w:t>нове будівництво захисної споруди - протирадіаційного укриття (ПРУ) школи № 30. Місткість укриття - 200 осіб.</w:t>
            </w:r>
          </w:p>
          <w:p w:rsidR="005228FB" w:rsidRPr="00EF6F99" w:rsidRDefault="005228FB" w:rsidP="005228FB">
            <w:pPr>
              <w:autoSpaceDE w:val="0"/>
              <w:autoSpaceDN w:val="0"/>
              <w:adjustRightInd w:val="0"/>
              <w:jc w:val="both"/>
            </w:pPr>
            <w:r w:rsidRPr="00EF6F99">
              <w:t xml:space="preserve">Запроектована споруда - підземна (із заглибленням на 2,2-2,3 м від поверхні землі), монолітна залізобетонна з обвалуванням ґрунтом, прямокутної форми у плані, з розмірами у </w:t>
            </w:r>
            <w:proofErr w:type="spellStart"/>
            <w:r w:rsidRPr="00EF6F99">
              <w:t>вісях</w:t>
            </w:r>
            <w:proofErr w:type="spellEnd"/>
            <w:r w:rsidRPr="00EF6F99">
              <w:t xml:space="preserve"> 1-7, А¬Л 26,35x35,3 м, з висотою приміщень 2,7 м.</w:t>
            </w:r>
          </w:p>
          <w:p w:rsidR="005228FB" w:rsidRPr="00EF6F99" w:rsidRDefault="005228FB" w:rsidP="005228FB">
            <w:pPr>
              <w:autoSpaceDE w:val="0"/>
              <w:autoSpaceDN w:val="0"/>
              <w:adjustRightInd w:val="0"/>
              <w:jc w:val="both"/>
            </w:pPr>
            <w:r w:rsidRPr="00EF6F99">
              <w:t>Споруду запроектовано з монолітним залізобетонним каркасом, елементами жорсткості слугують стіни-діафрагми товщиною 300 мм та 350 мм.</w:t>
            </w:r>
          </w:p>
          <w:p w:rsidR="005228FB" w:rsidRPr="00EF6F99" w:rsidRDefault="005228FB" w:rsidP="005228FB">
            <w:pPr>
              <w:autoSpaceDE w:val="0"/>
              <w:autoSpaceDN w:val="0"/>
              <w:adjustRightInd w:val="0"/>
              <w:jc w:val="both"/>
            </w:pPr>
            <w:r w:rsidRPr="00EF6F99">
              <w:t>Споруду запроектовано з двома евакуаційними виходами і аварійним виходом через вертикальну шахту.</w:t>
            </w:r>
          </w:p>
          <w:p w:rsidR="005228FB" w:rsidRPr="00DC2EBD" w:rsidRDefault="005228FB" w:rsidP="005228FB">
            <w:pPr>
              <w:autoSpaceDE w:val="0"/>
              <w:autoSpaceDN w:val="0"/>
              <w:adjustRightInd w:val="0"/>
              <w:jc w:val="both"/>
            </w:pPr>
            <w:r w:rsidRPr="00EF6F99">
              <w:t>Проектні рішення прийняті за результатами розрахунків для перевірки огороджувальних конструкцій на дію ударної хвилі та захисту від ураження проникаючої радіації.</w:t>
            </w:r>
            <w:r>
              <w:t xml:space="preserve"> </w:t>
            </w:r>
            <w:proofErr w:type="spellStart"/>
            <w:r w:rsidRPr="00DC2EBD">
              <w:t>Огороджуючі</w:t>
            </w:r>
            <w:proofErr w:type="spellEnd"/>
            <w:r w:rsidRPr="00DC2EBD">
              <w:t xml:space="preserve"> конструкції, згідно робочого проекту, забезпечуватимуть ступінь послаблення проникаючої радіації зовнішнього випромінювання, який відповідає визначеному коефіцієнту захисту Кз-1000.</w:t>
            </w:r>
          </w:p>
          <w:p w:rsidR="005228FB" w:rsidRPr="00563BF8" w:rsidRDefault="005228FB" w:rsidP="005228FB">
            <w:pPr>
              <w:autoSpaceDE w:val="0"/>
              <w:autoSpaceDN w:val="0"/>
              <w:adjustRightInd w:val="0"/>
              <w:jc w:val="both"/>
            </w:pPr>
            <w:r w:rsidRPr="00563BF8">
              <w:t>Проектними рішеннями передбачено влаштування основних приміщень для укриття, приміщень для брудного одягу, зберігання продовольства, резервуарів запасу води, дизельної електростанції, електрощитової, вентиляційної, санвузлів, допоміжних приміщень, санітарного посту, тамбур-шлюзів.</w:t>
            </w:r>
          </w:p>
          <w:p w:rsidR="005228FB" w:rsidRPr="00EF6F99" w:rsidRDefault="005228FB" w:rsidP="005228FB">
            <w:pPr>
              <w:autoSpaceDE w:val="0"/>
              <w:autoSpaceDN w:val="0"/>
              <w:adjustRightInd w:val="0"/>
              <w:jc w:val="both"/>
            </w:pPr>
            <w:r w:rsidRPr="00EF6F99">
              <w:t>Робочим проектом передбачено:</w:t>
            </w:r>
          </w:p>
          <w:p w:rsidR="005228FB" w:rsidRPr="00EF6F99" w:rsidRDefault="005228FB" w:rsidP="005228FB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EF6F99">
              <w:t>влаштування підпірної стінки;</w:t>
            </w:r>
          </w:p>
          <w:p w:rsidR="005228FB" w:rsidRPr="00EF6F99" w:rsidRDefault="005228FB" w:rsidP="005228FB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EF6F99">
              <w:t xml:space="preserve">встановлення </w:t>
            </w:r>
            <w:proofErr w:type="spellStart"/>
            <w:r w:rsidRPr="00EF6F99">
              <w:t>огороджуючих</w:t>
            </w:r>
            <w:proofErr w:type="spellEnd"/>
            <w:r w:rsidRPr="00EF6F99">
              <w:t xml:space="preserve"> конструкцій укриття підземно у підготовленому котловані;</w:t>
            </w:r>
          </w:p>
          <w:p w:rsidR="005228FB" w:rsidRPr="00EF6F99" w:rsidRDefault="005228FB" w:rsidP="005228FB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EF6F99">
              <w:t>влаштування шахт димовидалення;</w:t>
            </w:r>
          </w:p>
          <w:p w:rsidR="005228FB" w:rsidRPr="00EF6F99" w:rsidRDefault="005228FB" w:rsidP="005228FB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EF6F99">
              <w:t>влаштування шахти для ліфтового підйомника;</w:t>
            </w:r>
          </w:p>
          <w:p w:rsidR="005228FB" w:rsidRPr="00EF6F99" w:rsidRDefault="005228FB" w:rsidP="005228FB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EF6F99">
              <w:t>влаштування входів до укриття;</w:t>
            </w:r>
          </w:p>
          <w:p w:rsidR="005228FB" w:rsidRPr="00EF6F99" w:rsidRDefault="005228FB" w:rsidP="005228FB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EF6F99">
              <w:t>встановлення дверних блоків;</w:t>
            </w:r>
          </w:p>
          <w:p w:rsidR="005228FB" w:rsidRPr="00EF6F99" w:rsidRDefault="005228FB" w:rsidP="005228FB">
            <w:pPr>
              <w:autoSpaceDE w:val="0"/>
              <w:autoSpaceDN w:val="0"/>
              <w:adjustRightInd w:val="0"/>
              <w:jc w:val="both"/>
            </w:pPr>
            <w:r w:rsidRPr="00EF6F99">
              <w:t>-</w:t>
            </w:r>
            <w:r>
              <w:t xml:space="preserve"> </w:t>
            </w:r>
            <w:r w:rsidRPr="00EF6F99">
              <w:t>влаштування внутрішній стін та перегородок;</w:t>
            </w:r>
          </w:p>
          <w:p w:rsidR="005228FB" w:rsidRPr="00EF6F99" w:rsidRDefault="005228FB" w:rsidP="005228FB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EF6F99">
              <w:t>опорядження стін, стель та підлог;</w:t>
            </w:r>
          </w:p>
          <w:p w:rsidR="005228FB" w:rsidRPr="00EF6F99" w:rsidRDefault="005228FB" w:rsidP="005228FB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EF6F99">
              <w:t>прокладання зовнішніх силових мереж електропостачання 0,4 кВ;</w:t>
            </w:r>
          </w:p>
          <w:p w:rsidR="005228FB" w:rsidRPr="00EF6F99" w:rsidRDefault="005228FB" w:rsidP="005228FB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-</w:t>
            </w:r>
            <w:r w:rsidRPr="00EF6F99">
              <w:t>влаштування внутрішньої мережі електропостачання із встановленням електрообладнання;</w:t>
            </w:r>
          </w:p>
          <w:p w:rsidR="005228FB" w:rsidRPr="00EF6F99" w:rsidRDefault="005228FB" w:rsidP="005228FB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EF6F99">
              <w:t>обладнання приміщень укриття системою припливно-витяжної вентиляції із встановленням обладнання;</w:t>
            </w:r>
          </w:p>
          <w:p w:rsidR="005228FB" w:rsidRPr="00EF6F99" w:rsidRDefault="005228FB" w:rsidP="005228FB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EF6F99">
              <w:t>прокладання зовнішньої водопровідної мережі;</w:t>
            </w:r>
          </w:p>
          <w:p w:rsidR="005228FB" w:rsidRPr="00EF6F99" w:rsidRDefault="005228FB" w:rsidP="005228FB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EF6F99">
              <w:t xml:space="preserve">прокладання внутрішніх трубопроводів водопостачання та каналізації, встановлення </w:t>
            </w:r>
            <w:proofErr w:type="spellStart"/>
            <w:r w:rsidRPr="00EF6F99">
              <w:t>сантехприладів</w:t>
            </w:r>
            <w:proofErr w:type="spellEnd"/>
            <w:r w:rsidRPr="00EF6F99">
              <w:t xml:space="preserve"> в санвузлах;</w:t>
            </w:r>
          </w:p>
          <w:p w:rsidR="005228FB" w:rsidRPr="00EF6F99" w:rsidRDefault="005228FB" w:rsidP="005228FB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EF6F99">
              <w:t xml:space="preserve">встановлення резервуарів запасу для води, аварійного резервуару для </w:t>
            </w:r>
            <w:proofErr w:type="spellStart"/>
            <w:r w:rsidRPr="00EF6F99">
              <w:t>госппобутових</w:t>
            </w:r>
            <w:proofErr w:type="spellEnd"/>
            <w:r w:rsidRPr="00EF6F99">
              <w:t xml:space="preserve"> стоків, насосу з приямком для відкачування аварійних вод;</w:t>
            </w:r>
          </w:p>
          <w:p w:rsidR="005228FB" w:rsidRPr="00EF6F99" w:rsidRDefault="005228FB" w:rsidP="005228FB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EF6F99">
              <w:t>влаштування каналізаційної насосної станції;</w:t>
            </w:r>
          </w:p>
          <w:p w:rsidR="005228FB" w:rsidRPr="00EF6F99" w:rsidRDefault="005228FB" w:rsidP="005228FB">
            <w:pPr>
              <w:autoSpaceDE w:val="0"/>
              <w:autoSpaceDN w:val="0"/>
              <w:adjustRightInd w:val="0"/>
              <w:jc w:val="both"/>
            </w:pPr>
            <w:r>
              <w:t>- в</w:t>
            </w:r>
            <w:r w:rsidRPr="00EF6F99">
              <w:t>лаштування систем протипожежного захисту;</w:t>
            </w:r>
          </w:p>
          <w:p w:rsidR="005228FB" w:rsidRPr="00EF6F99" w:rsidRDefault="005228FB" w:rsidP="005228FB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EF6F99">
              <w:t>влаштування системи охоронної сигналізації, структурованої кабельної мережі, відео спостереження та управління доступом;</w:t>
            </w:r>
          </w:p>
          <w:p w:rsidR="005228FB" w:rsidRPr="00EF6F99" w:rsidRDefault="005228FB" w:rsidP="005228FB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EF6F99">
              <w:t>влаштування системи зв’язку,</w:t>
            </w:r>
          </w:p>
          <w:p w:rsidR="005228FB" w:rsidRPr="00EF6F99" w:rsidRDefault="005228FB" w:rsidP="005228FB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EF6F99">
              <w:t>влаштування системи загазованості;</w:t>
            </w:r>
          </w:p>
          <w:p w:rsidR="005228FB" w:rsidRPr="00EF6F99" w:rsidRDefault="005228FB" w:rsidP="005228FB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EF6F99">
              <w:t xml:space="preserve">влаштування автоматизованої системи </w:t>
            </w:r>
            <w:proofErr w:type="spellStart"/>
            <w:r w:rsidRPr="00EF6F99">
              <w:t>протидимного</w:t>
            </w:r>
            <w:proofErr w:type="spellEnd"/>
            <w:r w:rsidRPr="00EF6F99">
              <w:t xml:space="preserve"> захисту;</w:t>
            </w:r>
          </w:p>
          <w:p w:rsidR="005228FB" w:rsidRPr="00EF6F99" w:rsidRDefault="005228FB" w:rsidP="005228FB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EF6F99">
              <w:t>облаштування санвузлів для осіб з інвалідністю та інших маломобільних груп населення;</w:t>
            </w:r>
          </w:p>
          <w:p w:rsidR="005228FB" w:rsidRPr="00EF6F99" w:rsidRDefault="005228FB" w:rsidP="005228FB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EF6F99">
              <w:t>забезпечення доступу для осіб з інвалідністю та інших маломобільних груп населення за допомогою ліфтового підйомника, застосування тактильних та візуальних елементів доступності;</w:t>
            </w:r>
          </w:p>
          <w:p w:rsidR="005228FB" w:rsidRPr="00EF6F99" w:rsidRDefault="005228FB" w:rsidP="005228FB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EF6F99">
              <w:t>влаштування вимощення;</w:t>
            </w:r>
          </w:p>
          <w:p w:rsidR="005228FB" w:rsidRDefault="005228FB" w:rsidP="005228FB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EF6F99">
              <w:t>благоустрій території (озеленення, тротуарів).</w:t>
            </w:r>
          </w:p>
          <w:p w:rsidR="00CB2728" w:rsidRPr="009B1FCA" w:rsidRDefault="00CB2728" w:rsidP="005228FB"/>
        </w:tc>
      </w:tr>
      <w:tr w:rsidR="00CB2728" w:rsidTr="00742743">
        <w:trPr>
          <w:trHeight w:val="4989"/>
        </w:trPr>
        <w:tc>
          <w:tcPr>
            <w:tcW w:w="425" w:type="dxa"/>
            <w:shd w:val="clear" w:color="auto" w:fill="auto"/>
          </w:tcPr>
          <w:p w:rsidR="00CB2728" w:rsidRPr="00A37F24" w:rsidRDefault="00A37F24">
            <w:r w:rsidRPr="00A37F24">
              <w:lastRenderedPageBreak/>
              <w:t>3</w:t>
            </w:r>
          </w:p>
        </w:tc>
        <w:tc>
          <w:tcPr>
            <w:tcW w:w="3119" w:type="dxa"/>
            <w:shd w:val="clear" w:color="auto" w:fill="auto"/>
          </w:tcPr>
          <w:p w:rsidR="00CB2728" w:rsidRPr="00A37F24" w:rsidRDefault="00A37F24">
            <w:pPr>
              <w:rPr>
                <w:b/>
              </w:rPr>
            </w:pPr>
            <w:r w:rsidRPr="00A37F24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946" w:type="dxa"/>
            <w:shd w:val="clear" w:color="auto" w:fill="auto"/>
          </w:tcPr>
          <w:p w:rsidR="00A37F24" w:rsidRPr="00B12B67" w:rsidRDefault="00A37F24" w:rsidP="00705C88">
            <w:pPr>
              <w:jc w:val="both"/>
            </w:pPr>
            <w:r w:rsidRPr="00B12B67">
              <w:t xml:space="preserve">Визначення очікуваної вартості проведено Замовником на підставі кошторисної документації, </w:t>
            </w:r>
            <w:r w:rsidR="00705C88" w:rsidRPr="00B12B67">
              <w:t xml:space="preserve">розробленої з урахуванням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та експертного звіту (позитивного) від </w:t>
            </w:r>
            <w:r w:rsidR="005228FB">
              <w:t>20</w:t>
            </w:r>
            <w:r w:rsidR="00705C88" w:rsidRPr="00B12B67">
              <w:t>.</w:t>
            </w:r>
            <w:r w:rsidR="00B12B67" w:rsidRPr="00B12B67">
              <w:t>0</w:t>
            </w:r>
            <w:r w:rsidR="005228FB">
              <w:t>1</w:t>
            </w:r>
            <w:r w:rsidR="00705C88" w:rsidRPr="00B12B67">
              <w:t>.202</w:t>
            </w:r>
            <w:r w:rsidR="005228FB">
              <w:t>5</w:t>
            </w:r>
            <w:r w:rsidR="00705C88" w:rsidRPr="00B12B67">
              <w:t>3 №</w:t>
            </w:r>
            <w:r w:rsidR="00523F3B">
              <w:t>19-</w:t>
            </w:r>
            <w:r w:rsidR="005228FB">
              <w:t>0245</w:t>
            </w:r>
            <w:r w:rsidR="00523F3B">
              <w:t>/01-24</w:t>
            </w:r>
            <w:r w:rsidR="0014782A" w:rsidRPr="00B12B67">
              <w:t xml:space="preserve"> </w:t>
            </w:r>
            <w:r w:rsidR="005F161D" w:rsidRPr="00B12B67">
              <w:t xml:space="preserve">щодо розгляду </w:t>
            </w:r>
            <w:proofErr w:type="spellStart"/>
            <w:r w:rsidR="005F161D" w:rsidRPr="00B12B67">
              <w:t>проєктної</w:t>
            </w:r>
            <w:proofErr w:type="spellEnd"/>
            <w:r w:rsidR="005F161D" w:rsidRPr="00B12B67">
              <w:t xml:space="preserve"> документації на будівництво об’єкта</w:t>
            </w:r>
            <w:r w:rsidR="0014782A" w:rsidRPr="00B12B67">
              <w:t xml:space="preserve"> </w:t>
            </w:r>
            <w:r w:rsidR="00B12B67" w:rsidRPr="00B12B67">
              <w:t>«</w:t>
            </w:r>
            <w:r w:rsidR="005228FB" w:rsidRPr="005228FB">
              <w:t>Нове будівництво захисної споруди цивільного захисту (протирадіаційне укриття) на території СПШ №30 «Унікум» СМР за адресою: м. Суми, вул. Новоміської сотні,7</w:t>
            </w:r>
            <w:r w:rsidR="00B12B67" w:rsidRPr="00B12B67">
              <w:t>»</w:t>
            </w:r>
            <w:r w:rsidR="00705C88" w:rsidRPr="00B12B67">
              <w:t>,</w:t>
            </w:r>
            <w:r w:rsidR="005228FB">
              <w:t xml:space="preserve"> </w:t>
            </w:r>
            <w:r w:rsidR="0014782A" w:rsidRPr="00B12B67">
              <w:t>виданого</w:t>
            </w:r>
            <w:r w:rsidR="005228FB">
              <w:t xml:space="preserve"> </w:t>
            </w:r>
            <w:r w:rsidR="00523F3B">
              <w:t>Філією</w:t>
            </w:r>
            <w:r w:rsidR="005228FB">
              <w:t xml:space="preserve"> </w:t>
            </w:r>
            <w:r w:rsidR="00523F3B">
              <w:t xml:space="preserve">ДП </w:t>
            </w:r>
            <w:proofErr w:type="spellStart"/>
            <w:r w:rsidR="00523F3B">
              <w:t>Укрдержбудекспертиза</w:t>
            </w:r>
            <w:proofErr w:type="spellEnd"/>
            <w:r w:rsidR="00523F3B">
              <w:t>» у Сумській області</w:t>
            </w:r>
            <w:r w:rsidR="00C47FEA">
              <w:t>.</w:t>
            </w:r>
          </w:p>
          <w:p w:rsidR="00A37F24" w:rsidRPr="00B12B67" w:rsidRDefault="00A37F24" w:rsidP="00705C88">
            <w:pPr>
              <w:jc w:val="both"/>
            </w:pPr>
          </w:p>
          <w:p w:rsidR="00CB2728" w:rsidRPr="00B12B67" w:rsidRDefault="00A37F24" w:rsidP="005228FB">
            <w:pPr>
              <w:jc w:val="both"/>
            </w:pPr>
            <w:r w:rsidRPr="00B12B67">
              <w:t xml:space="preserve">На підставі кошторисної документації, яка є частиною проектної документації по об’єкту </w:t>
            </w:r>
            <w:r w:rsidR="00B12B67" w:rsidRPr="00B12B67">
              <w:t>«</w:t>
            </w:r>
            <w:r w:rsidR="005228FB" w:rsidRPr="005228FB">
              <w:t>Нове будівництво захисної споруди цивільного захисту (протирадіаційне укриття) на території СПШ №30 «У</w:t>
            </w:r>
            <w:r w:rsidR="005228FB">
              <w:t xml:space="preserve">нікум» СМР за адресою: м. Суми, </w:t>
            </w:r>
            <w:r w:rsidR="005228FB" w:rsidRPr="005228FB">
              <w:t>вул. Новоміської сотні, 7</w:t>
            </w:r>
            <w:r w:rsidR="00B12B67" w:rsidRPr="00B12B67">
              <w:t>»</w:t>
            </w:r>
            <w:r w:rsidR="004E1CFC">
              <w:t>,</w:t>
            </w:r>
            <w:r w:rsidRPr="00B12B67">
              <w:t xml:space="preserve"> Замовником здійснено обґрунтування розміру бюджетного призначення. </w:t>
            </w:r>
          </w:p>
        </w:tc>
      </w:tr>
    </w:tbl>
    <w:p w:rsidR="00CB2728" w:rsidRDefault="00CB2728">
      <w:pPr>
        <w:jc w:val="both"/>
        <w:rPr>
          <w:sz w:val="20"/>
          <w:szCs w:val="20"/>
        </w:rPr>
      </w:pPr>
    </w:p>
    <w:p w:rsidR="00CB2728" w:rsidRDefault="00CB2728">
      <w:pPr>
        <w:jc w:val="both"/>
      </w:pPr>
    </w:p>
    <w:sectPr w:rsidR="00CB2728" w:rsidSect="00681802">
      <w:pgSz w:w="11906" w:h="16838"/>
      <w:pgMar w:top="567" w:right="850" w:bottom="851" w:left="1417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28"/>
    <w:rsid w:val="000679FC"/>
    <w:rsid w:val="00073815"/>
    <w:rsid w:val="00131493"/>
    <w:rsid w:val="0014782A"/>
    <w:rsid w:val="00165E82"/>
    <w:rsid w:val="003A78C0"/>
    <w:rsid w:val="003F0A7E"/>
    <w:rsid w:val="00473B4E"/>
    <w:rsid w:val="004E1CFC"/>
    <w:rsid w:val="004E365B"/>
    <w:rsid w:val="00521D3F"/>
    <w:rsid w:val="005228FB"/>
    <w:rsid w:val="00523F3B"/>
    <w:rsid w:val="00574353"/>
    <w:rsid w:val="005900DB"/>
    <w:rsid w:val="005F161D"/>
    <w:rsid w:val="006508CA"/>
    <w:rsid w:val="00654E16"/>
    <w:rsid w:val="00681802"/>
    <w:rsid w:val="00696D47"/>
    <w:rsid w:val="006C430B"/>
    <w:rsid w:val="006C6862"/>
    <w:rsid w:val="00705C88"/>
    <w:rsid w:val="00742743"/>
    <w:rsid w:val="00856AA6"/>
    <w:rsid w:val="008D40F5"/>
    <w:rsid w:val="00971A52"/>
    <w:rsid w:val="009B1FCA"/>
    <w:rsid w:val="00A37F24"/>
    <w:rsid w:val="00AB30BF"/>
    <w:rsid w:val="00AE23B0"/>
    <w:rsid w:val="00B12B67"/>
    <w:rsid w:val="00BD1E81"/>
    <w:rsid w:val="00BD763A"/>
    <w:rsid w:val="00C47FEA"/>
    <w:rsid w:val="00CB2728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70C0"/>
  <w15:docId w15:val="{3C7241B5-14EB-4B5A-8A23-02535108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6E2"/>
  </w:style>
  <w:style w:type="paragraph" w:styleId="1">
    <w:name w:val="heading 1"/>
    <w:basedOn w:val="a"/>
    <w:next w:val="a"/>
    <w:rsid w:val="00AB30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B30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B30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B30B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AB30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B30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B30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B30B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A16E2"/>
    <w:pPr>
      <w:ind w:left="720"/>
      <w:contextualSpacing/>
    </w:pPr>
  </w:style>
  <w:style w:type="paragraph" w:styleId="a5">
    <w:name w:val="Subtitle"/>
    <w:basedOn w:val="a"/>
    <w:next w:val="a"/>
    <w:rsid w:val="00AB30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AB30B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harChar1">
    <w:name w:val="Char Знак Знак Char Знак Знак Знак Знак Знак Знак Знак Знак Знак Знак Знак Знак Знак Знак Знак1"/>
    <w:basedOn w:val="a"/>
    <w:rsid w:val="004E1CF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2e8uOkWbiyaLIQpzk6aFzA01Q==">AMUW2mUO4MUZUtJbMlAzDj9q3aLvxfCKwbGl5+HhT4Up1wjaoGm48LR4Bkv23CyDBWSJeRJJwO2uwGiP7slORUfpWUVedFTRlsrHeTmRiat5byi8s2Aq1GU=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Гулякін Руслан Олександрович</cp:lastModifiedBy>
  <cp:revision>4</cp:revision>
  <dcterms:created xsi:type="dcterms:W3CDTF">2025-04-01T09:15:00Z</dcterms:created>
  <dcterms:modified xsi:type="dcterms:W3CDTF">2025-04-01T09:17:00Z</dcterms:modified>
</cp:coreProperties>
</file>