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П Р О Т О К О Л № 2</w:t>
      </w:r>
    </w:p>
    <w:p w:rsidR="00000000" w:rsidDel="00000000" w:rsidP="00000000" w:rsidRDefault="00000000" w:rsidRPr="00000000" w14:paraId="00000002">
      <w:pPr>
        <w:jc w:val="center"/>
        <w:rPr>
          <w:b w:val="1"/>
          <w:sz w:val="28"/>
          <w:szCs w:val="28"/>
        </w:rPr>
      </w:pPr>
      <w:bookmarkStart w:colFirst="0" w:colLast="0" w:name="_heading=h.gjdgxs" w:id="0"/>
      <w:bookmarkEnd w:id="0"/>
      <w:r w:rsidDel="00000000" w:rsidR="00000000" w:rsidRPr="00000000">
        <w:rPr>
          <w:b w:val="1"/>
          <w:sz w:val="28"/>
          <w:szCs w:val="28"/>
          <w:rtl w:val="0"/>
        </w:rPr>
        <w:t xml:space="preserve">засідання Ради з питань внутрішньо переміщених осіб Сумської міської територіальної громади</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м. Суми                                                                                  </w:t>
      </w:r>
      <w:r w:rsidDel="00000000" w:rsidR="00000000" w:rsidRPr="00000000">
        <w:rPr>
          <w:color w:val="000000"/>
          <w:sz w:val="28"/>
          <w:szCs w:val="28"/>
          <w:highlight w:val="white"/>
          <w:rtl w:val="0"/>
        </w:rPr>
        <w:t xml:space="preserve">06 червня 2024 року</w:t>
      </w:r>
      <w:r w:rsidDel="00000000" w:rsidR="00000000" w:rsidRPr="00000000">
        <w:rPr>
          <w:rtl w:val="0"/>
        </w:rPr>
      </w:r>
    </w:p>
    <w:p w:rsidR="00000000" w:rsidDel="00000000" w:rsidP="00000000" w:rsidRDefault="00000000" w:rsidRPr="00000000" w14:paraId="00000005">
      <w:pPr>
        <w:rPr>
          <w:sz w:val="28"/>
          <w:szCs w:val="28"/>
          <w:highlight w:val="yellow"/>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Місце проведення: м. Суми, майдан Незалежності, буд. 2</w:t>
      </w:r>
    </w:p>
    <w:p w:rsidR="00000000" w:rsidDel="00000000" w:rsidP="00000000" w:rsidRDefault="00000000" w:rsidRPr="00000000" w14:paraId="00000007">
      <w:pPr>
        <w:rPr>
          <w:sz w:val="28"/>
          <w:szCs w:val="28"/>
          <w:highlight w:val="yellow"/>
        </w:rPr>
      </w:pPr>
      <w:r w:rsidDel="00000000" w:rsidR="00000000" w:rsidRPr="00000000">
        <w:rPr>
          <w:rtl w:val="0"/>
        </w:rPr>
      </w:r>
    </w:p>
    <w:tbl>
      <w:tblPr>
        <w:tblStyle w:val="Table1"/>
        <w:tblW w:w="96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13"/>
        <w:gridCol w:w="3225"/>
        <w:tblGridChange w:id="0">
          <w:tblGrid>
            <w:gridCol w:w="6413"/>
            <w:gridCol w:w="3225"/>
          </w:tblGrid>
        </w:tblGridChange>
      </w:tblGrid>
      <w:tr>
        <w:trPr>
          <w:cantSplit w:val="0"/>
          <w:tblHeader w:val="0"/>
        </w:trPr>
        <w:tc>
          <w:tcPr/>
          <w:p w:rsidR="00000000" w:rsidDel="00000000" w:rsidP="00000000" w:rsidRDefault="00000000" w:rsidRPr="00000000" w14:paraId="00000008">
            <w:pPr>
              <w:rPr>
                <w:sz w:val="28"/>
                <w:szCs w:val="28"/>
                <w:highlight w:val="yellow"/>
              </w:rPr>
            </w:pPr>
            <w:r w:rsidDel="00000000" w:rsidR="00000000" w:rsidRPr="00000000">
              <w:rPr>
                <w:b w:val="1"/>
                <w:sz w:val="28"/>
                <w:szCs w:val="28"/>
                <w:rtl w:val="0"/>
              </w:rPr>
              <w:t xml:space="preserve">Головує :</w:t>
            </w:r>
            <w:r w:rsidDel="00000000" w:rsidR="00000000" w:rsidRPr="00000000">
              <w:rPr>
                <w:rtl w:val="0"/>
              </w:rPr>
            </w:r>
          </w:p>
        </w:tc>
        <w:tc>
          <w:tcPr/>
          <w:p w:rsidR="00000000" w:rsidDel="00000000" w:rsidP="00000000" w:rsidRDefault="00000000" w:rsidRPr="00000000" w14:paraId="00000009">
            <w:pPr>
              <w:tabs>
                <w:tab w:val="left" w:leader="none" w:pos="5760"/>
                <w:tab w:val="left" w:leader="none" w:pos="5954"/>
              </w:tabs>
              <w:rPr>
                <w:sz w:val="28"/>
                <w:szCs w:val="28"/>
              </w:rPr>
            </w:pPr>
            <w:r w:rsidDel="00000000" w:rsidR="00000000" w:rsidRPr="00000000">
              <w:rPr>
                <w:sz w:val="28"/>
                <w:szCs w:val="28"/>
                <w:rtl w:val="0"/>
              </w:rPr>
              <w:t xml:space="preserve">Єсіна Наталія</w:t>
            </w:r>
          </w:p>
          <w:p w:rsidR="00000000" w:rsidDel="00000000" w:rsidP="00000000" w:rsidRDefault="00000000" w:rsidRPr="00000000" w14:paraId="0000000A">
            <w:pPr>
              <w:rPr>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B">
            <w:pPr>
              <w:rPr>
                <w:sz w:val="28"/>
                <w:szCs w:val="28"/>
                <w:highlight w:val="yellow"/>
              </w:rPr>
            </w:pPr>
            <w:r w:rsidDel="00000000" w:rsidR="00000000" w:rsidRPr="00000000">
              <w:rPr>
                <w:b w:val="1"/>
                <w:sz w:val="28"/>
                <w:szCs w:val="28"/>
                <w:rtl w:val="0"/>
              </w:rPr>
              <w:t xml:space="preserve">Секретар</w:t>
            </w:r>
            <w:r w:rsidDel="00000000" w:rsidR="00000000" w:rsidRPr="00000000">
              <w:rPr>
                <w:rtl w:val="0"/>
              </w:rPr>
            </w:r>
          </w:p>
        </w:tc>
        <w:tc>
          <w:tcPr/>
          <w:p w:rsidR="00000000" w:rsidDel="00000000" w:rsidP="00000000" w:rsidRDefault="00000000" w:rsidRPr="00000000" w14:paraId="0000000C">
            <w:pPr>
              <w:rPr>
                <w:sz w:val="28"/>
                <w:szCs w:val="28"/>
                <w:highlight w:val="yellow"/>
              </w:rPr>
            </w:pPr>
            <w:r w:rsidDel="00000000" w:rsidR="00000000" w:rsidRPr="00000000">
              <w:rPr>
                <w:sz w:val="28"/>
                <w:szCs w:val="28"/>
                <w:rtl w:val="0"/>
              </w:rPr>
              <w:t xml:space="preserve">Ківеріна Юлія</w:t>
            </w:r>
            <w:r w:rsidDel="00000000" w:rsidR="00000000" w:rsidRPr="00000000">
              <w:rPr>
                <w:rtl w:val="0"/>
              </w:rPr>
            </w:r>
          </w:p>
        </w:tc>
      </w:tr>
      <w:tr>
        <w:trPr>
          <w:cantSplit w:val="0"/>
          <w:tblHeader w:val="0"/>
        </w:trPr>
        <w:tc>
          <w:tcPr/>
          <w:p w:rsidR="00000000" w:rsidDel="00000000" w:rsidP="00000000" w:rsidRDefault="00000000" w:rsidRPr="00000000" w14:paraId="0000000D">
            <w:pPr>
              <w:rPr>
                <w:sz w:val="28"/>
                <w:szCs w:val="28"/>
                <w:highlight w:val="yellow"/>
              </w:rPr>
            </w:pPr>
            <w:r w:rsidDel="00000000" w:rsidR="00000000" w:rsidRPr="00000000">
              <w:rPr>
                <w:rtl w:val="0"/>
              </w:rPr>
            </w:r>
          </w:p>
        </w:tc>
        <w:tc>
          <w:tcPr/>
          <w:p w:rsidR="00000000" w:rsidDel="00000000" w:rsidP="00000000" w:rsidRDefault="00000000" w:rsidRPr="00000000" w14:paraId="0000000E">
            <w:pPr>
              <w:rPr>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F">
            <w:pPr>
              <w:rPr>
                <w:b w:val="1"/>
                <w:color w:val="000000"/>
                <w:sz w:val="28"/>
                <w:szCs w:val="28"/>
              </w:rPr>
            </w:pPr>
            <w:r w:rsidDel="00000000" w:rsidR="00000000" w:rsidRPr="00000000">
              <w:rPr>
                <w:b w:val="1"/>
                <w:color w:val="000000"/>
                <w:sz w:val="28"/>
                <w:szCs w:val="28"/>
                <w:rtl w:val="0"/>
              </w:rPr>
              <w:t xml:space="preserve">Присутні члени ради:</w:t>
            </w:r>
          </w:p>
          <w:p w:rsidR="00000000" w:rsidDel="00000000" w:rsidP="00000000" w:rsidRDefault="00000000" w:rsidRPr="00000000" w14:paraId="00000010">
            <w:pPr>
              <w:rPr>
                <w:sz w:val="28"/>
                <w:szCs w:val="28"/>
                <w:highlight w:val="yellow"/>
              </w:rPr>
            </w:pPr>
            <w:r w:rsidDel="00000000" w:rsidR="00000000" w:rsidRPr="00000000">
              <w:rPr>
                <w:rtl w:val="0"/>
              </w:rPr>
            </w:r>
          </w:p>
          <w:p w:rsidR="00000000" w:rsidDel="00000000" w:rsidP="00000000" w:rsidRDefault="00000000" w:rsidRPr="00000000" w14:paraId="00000011">
            <w:pPr>
              <w:rPr>
                <w:sz w:val="28"/>
                <w:szCs w:val="28"/>
                <w:highlight w:val="yellow"/>
              </w:rPr>
            </w:pPr>
            <w:r w:rsidDel="00000000" w:rsidR="00000000" w:rsidRPr="00000000">
              <w:rPr>
                <w:rtl w:val="0"/>
              </w:rPr>
            </w:r>
          </w:p>
          <w:p w:rsidR="00000000" w:rsidDel="00000000" w:rsidP="00000000" w:rsidRDefault="00000000" w:rsidRPr="00000000" w14:paraId="00000012">
            <w:pPr>
              <w:rPr>
                <w:sz w:val="28"/>
                <w:szCs w:val="28"/>
                <w:highlight w:val="yellow"/>
              </w:rPr>
            </w:pPr>
            <w:r w:rsidDel="00000000" w:rsidR="00000000" w:rsidRPr="00000000">
              <w:rPr>
                <w:rtl w:val="0"/>
              </w:rPr>
            </w:r>
          </w:p>
          <w:p w:rsidR="00000000" w:rsidDel="00000000" w:rsidP="00000000" w:rsidRDefault="00000000" w:rsidRPr="00000000" w14:paraId="00000013">
            <w:pPr>
              <w:rPr>
                <w:sz w:val="28"/>
                <w:szCs w:val="28"/>
                <w:highlight w:val="yellow"/>
              </w:rPr>
            </w:pPr>
            <w:r w:rsidDel="00000000" w:rsidR="00000000" w:rsidRPr="00000000">
              <w:rPr>
                <w:rtl w:val="0"/>
              </w:rPr>
            </w:r>
          </w:p>
          <w:p w:rsidR="00000000" w:rsidDel="00000000" w:rsidP="00000000" w:rsidRDefault="00000000" w:rsidRPr="00000000" w14:paraId="00000014">
            <w:pPr>
              <w:rPr>
                <w:sz w:val="28"/>
                <w:szCs w:val="28"/>
                <w:highlight w:val="yellow"/>
              </w:rPr>
            </w:pPr>
            <w:r w:rsidDel="00000000" w:rsidR="00000000" w:rsidRPr="00000000">
              <w:rPr>
                <w:rtl w:val="0"/>
              </w:rPr>
            </w:r>
          </w:p>
          <w:p w:rsidR="00000000" w:rsidDel="00000000" w:rsidP="00000000" w:rsidRDefault="00000000" w:rsidRPr="00000000" w14:paraId="00000015">
            <w:pPr>
              <w:rPr>
                <w:sz w:val="28"/>
                <w:szCs w:val="28"/>
                <w:highlight w:val="yellow"/>
              </w:rPr>
            </w:pPr>
            <w:r w:rsidDel="00000000" w:rsidR="00000000" w:rsidRPr="00000000">
              <w:rPr>
                <w:rtl w:val="0"/>
              </w:rPr>
            </w:r>
          </w:p>
          <w:p w:rsidR="00000000" w:rsidDel="00000000" w:rsidP="00000000" w:rsidRDefault="00000000" w:rsidRPr="00000000" w14:paraId="00000016">
            <w:pPr>
              <w:rPr>
                <w:sz w:val="28"/>
                <w:szCs w:val="28"/>
                <w:highlight w:val="yellow"/>
              </w:rPr>
            </w:pPr>
            <w:r w:rsidDel="00000000" w:rsidR="00000000" w:rsidRPr="00000000">
              <w:rPr>
                <w:rtl w:val="0"/>
              </w:rPr>
            </w:r>
          </w:p>
          <w:p w:rsidR="00000000" w:rsidDel="00000000" w:rsidP="00000000" w:rsidRDefault="00000000" w:rsidRPr="00000000" w14:paraId="00000017">
            <w:pPr>
              <w:rPr>
                <w:sz w:val="28"/>
                <w:szCs w:val="28"/>
                <w:highlight w:val="yellow"/>
              </w:rPr>
            </w:pPr>
            <w:r w:rsidDel="00000000" w:rsidR="00000000" w:rsidRPr="00000000">
              <w:rPr>
                <w:rtl w:val="0"/>
              </w:rPr>
            </w:r>
          </w:p>
          <w:p w:rsidR="00000000" w:rsidDel="00000000" w:rsidP="00000000" w:rsidRDefault="00000000" w:rsidRPr="00000000" w14:paraId="00000018">
            <w:pPr>
              <w:rPr>
                <w:sz w:val="28"/>
                <w:szCs w:val="28"/>
                <w:highlight w:val="yellow"/>
              </w:rPr>
            </w:pPr>
            <w:r w:rsidDel="00000000" w:rsidR="00000000" w:rsidRPr="00000000">
              <w:rPr>
                <w:rtl w:val="0"/>
              </w:rPr>
            </w:r>
          </w:p>
          <w:p w:rsidR="00000000" w:rsidDel="00000000" w:rsidP="00000000" w:rsidRDefault="00000000" w:rsidRPr="00000000" w14:paraId="00000019">
            <w:pPr>
              <w:rPr>
                <w:sz w:val="28"/>
                <w:szCs w:val="28"/>
                <w:highlight w:val="yellow"/>
              </w:rPr>
            </w:pPr>
            <w:r w:rsidDel="00000000" w:rsidR="00000000" w:rsidRPr="00000000">
              <w:rPr>
                <w:rtl w:val="0"/>
              </w:rPr>
            </w:r>
          </w:p>
          <w:p w:rsidR="00000000" w:rsidDel="00000000" w:rsidP="00000000" w:rsidRDefault="00000000" w:rsidRPr="00000000" w14:paraId="0000001A">
            <w:pPr>
              <w:rPr>
                <w:sz w:val="28"/>
                <w:szCs w:val="28"/>
                <w:highlight w:val="yellow"/>
              </w:rPr>
            </w:pPr>
            <w:r w:rsidDel="00000000" w:rsidR="00000000" w:rsidRPr="00000000">
              <w:rPr>
                <w:rtl w:val="0"/>
              </w:rPr>
            </w:r>
          </w:p>
          <w:p w:rsidR="00000000" w:rsidDel="00000000" w:rsidP="00000000" w:rsidRDefault="00000000" w:rsidRPr="00000000" w14:paraId="0000001B">
            <w:pPr>
              <w:rPr>
                <w:sz w:val="28"/>
                <w:szCs w:val="28"/>
                <w:highlight w:val="yellow"/>
              </w:rPr>
            </w:pPr>
            <w:r w:rsidDel="00000000" w:rsidR="00000000" w:rsidRPr="00000000">
              <w:rPr>
                <w:rtl w:val="0"/>
              </w:rPr>
            </w:r>
          </w:p>
        </w:tc>
        <w:tc>
          <w:tcPr/>
          <w:p w:rsidR="00000000" w:rsidDel="00000000" w:rsidP="00000000" w:rsidRDefault="00000000" w:rsidRPr="00000000" w14:paraId="0000001C">
            <w:pPr>
              <w:jc w:val="both"/>
              <w:rPr>
                <w:sz w:val="28"/>
                <w:szCs w:val="28"/>
              </w:rPr>
            </w:pPr>
            <w:r w:rsidDel="00000000" w:rsidR="00000000" w:rsidRPr="00000000">
              <w:rPr>
                <w:sz w:val="28"/>
                <w:szCs w:val="28"/>
                <w:rtl w:val="0"/>
              </w:rPr>
              <w:t xml:space="preserve">Воробйова Олена</w:t>
            </w:r>
          </w:p>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Горбатенко Наталія</w:t>
            </w:r>
          </w:p>
          <w:p w:rsidR="00000000" w:rsidDel="00000000" w:rsidP="00000000" w:rsidRDefault="00000000" w:rsidRPr="00000000" w14:paraId="0000001E">
            <w:pPr>
              <w:jc w:val="both"/>
              <w:rPr>
                <w:sz w:val="28"/>
                <w:szCs w:val="28"/>
              </w:rPr>
            </w:pPr>
            <w:r w:rsidDel="00000000" w:rsidR="00000000" w:rsidRPr="00000000">
              <w:rPr>
                <w:sz w:val="28"/>
                <w:szCs w:val="28"/>
                <w:rtl w:val="0"/>
              </w:rPr>
              <w:t xml:space="preserve">Ігнатуша Валентина</w:t>
            </w:r>
          </w:p>
          <w:p w:rsidR="00000000" w:rsidDel="00000000" w:rsidP="00000000" w:rsidRDefault="00000000" w:rsidRPr="00000000" w14:paraId="0000001F">
            <w:pPr>
              <w:jc w:val="both"/>
              <w:rPr>
                <w:sz w:val="28"/>
                <w:szCs w:val="28"/>
              </w:rPr>
            </w:pPr>
            <w:r w:rsidDel="00000000" w:rsidR="00000000" w:rsidRPr="00000000">
              <w:rPr>
                <w:sz w:val="28"/>
                <w:szCs w:val="28"/>
                <w:rtl w:val="0"/>
              </w:rPr>
              <w:t xml:space="preserve">Кригіна Руслана</w:t>
            </w:r>
          </w:p>
          <w:p w:rsidR="00000000" w:rsidDel="00000000" w:rsidP="00000000" w:rsidRDefault="00000000" w:rsidRPr="00000000" w14:paraId="00000020">
            <w:pPr>
              <w:jc w:val="both"/>
              <w:rPr>
                <w:sz w:val="28"/>
                <w:szCs w:val="28"/>
              </w:rPr>
            </w:pPr>
            <w:r w:rsidDel="00000000" w:rsidR="00000000" w:rsidRPr="00000000">
              <w:rPr>
                <w:sz w:val="28"/>
                <w:szCs w:val="28"/>
                <w:rtl w:val="0"/>
              </w:rPr>
              <w:t xml:space="preserve">Лаврик Тетяна</w:t>
            </w:r>
          </w:p>
          <w:p w:rsidR="00000000" w:rsidDel="00000000" w:rsidP="00000000" w:rsidRDefault="00000000" w:rsidRPr="00000000" w14:paraId="00000021">
            <w:pPr>
              <w:jc w:val="both"/>
              <w:rPr>
                <w:sz w:val="28"/>
                <w:szCs w:val="28"/>
              </w:rPr>
            </w:pPr>
            <w:r w:rsidDel="00000000" w:rsidR="00000000" w:rsidRPr="00000000">
              <w:rPr>
                <w:sz w:val="28"/>
                <w:szCs w:val="28"/>
                <w:rtl w:val="0"/>
              </w:rPr>
              <w:t xml:space="preserve">Літовченко Ірина</w:t>
            </w:r>
          </w:p>
          <w:p w:rsidR="00000000" w:rsidDel="00000000" w:rsidP="00000000" w:rsidRDefault="00000000" w:rsidRPr="00000000" w14:paraId="00000022">
            <w:pPr>
              <w:jc w:val="both"/>
              <w:rPr>
                <w:sz w:val="28"/>
                <w:szCs w:val="28"/>
              </w:rPr>
            </w:pPr>
            <w:r w:rsidDel="00000000" w:rsidR="00000000" w:rsidRPr="00000000">
              <w:rPr>
                <w:sz w:val="28"/>
                <w:szCs w:val="28"/>
                <w:rtl w:val="0"/>
              </w:rPr>
              <w:t xml:space="preserve">Макаренко Анастасія</w:t>
            </w:r>
          </w:p>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Марченко Катерина</w:t>
            </w:r>
          </w:p>
          <w:p w:rsidR="00000000" w:rsidDel="00000000" w:rsidP="00000000" w:rsidRDefault="00000000" w:rsidRPr="00000000" w14:paraId="00000024">
            <w:pPr>
              <w:jc w:val="both"/>
              <w:rPr>
                <w:sz w:val="28"/>
                <w:szCs w:val="28"/>
              </w:rPr>
            </w:pPr>
            <w:r w:rsidDel="00000000" w:rsidR="00000000" w:rsidRPr="00000000">
              <w:rPr>
                <w:sz w:val="28"/>
                <w:szCs w:val="28"/>
                <w:rtl w:val="0"/>
              </w:rPr>
              <w:t xml:space="preserve">Назаренко Олена</w:t>
            </w:r>
          </w:p>
          <w:p w:rsidR="00000000" w:rsidDel="00000000" w:rsidP="00000000" w:rsidRDefault="00000000" w:rsidRPr="00000000" w14:paraId="00000025">
            <w:pPr>
              <w:rPr>
                <w:sz w:val="28"/>
                <w:szCs w:val="28"/>
              </w:rPr>
            </w:pPr>
            <w:r w:rsidDel="00000000" w:rsidR="00000000" w:rsidRPr="00000000">
              <w:rPr>
                <w:sz w:val="28"/>
                <w:szCs w:val="28"/>
                <w:rtl w:val="0"/>
              </w:rPr>
              <w:t xml:space="preserve">Резніченко Тетяна</w:t>
            </w:r>
          </w:p>
          <w:p w:rsidR="00000000" w:rsidDel="00000000" w:rsidP="00000000" w:rsidRDefault="00000000" w:rsidRPr="00000000" w14:paraId="00000026">
            <w:pPr>
              <w:rPr>
                <w:sz w:val="28"/>
                <w:szCs w:val="28"/>
              </w:rPr>
            </w:pPr>
            <w:r w:rsidDel="00000000" w:rsidR="00000000" w:rsidRPr="00000000">
              <w:rPr>
                <w:sz w:val="28"/>
                <w:szCs w:val="28"/>
                <w:rtl w:val="0"/>
              </w:rPr>
              <w:t xml:space="preserve">Руденко Людмила</w:t>
            </w:r>
          </w:p>
          <w:p w:rsidR="00000000" w:rsidDel="00000000" w:rsidP="00000000" w:rsidRDefault="00000000" w:rsidRPr="00000000" w14:paraId="00000027">
            <w:pPr>
              <w:jc w:val="both"/>
              <w:rPr>
                <w:sz w:val="28"/>
                <w:szCs w:val="28"/>
              </w:rPr>
            </w:pPr>
            <w:r w:rsidDel="00000000" w:rsidR="00000000" w:rsidRPr="00000000">
              <w:rPr>
                <w:sz w:val="28"/>
                <w:szCs w:val="28"/>
                <w:rtl w:val="0"/>
              </w:rPr>
              <w:t xml:space="preserve">Славко Анна</w:t>
            </w:r>
          </w:p>
          <w:p w:rsidR="00000000" w:rsidDel="00000000" w:rsidP="00000000" w:rsidRDefault="00000000" w:rsidRPr="00000000" w14:paraId="00000028">
            <w:pPr>
              <w:rPr>
                <w:sz w:val="28"/>
                <w:szCs w:val="28"/>
              </w:rPr>
            </w:pPr>
            <w:r w:rsidDel="00000000" w:rsidR="00000000" w:rsidRPr="00000000">
              <w:rPr>
                <w:rtl w:val="0"/>
              </w:rPr>
            </w:r>
          </w:p>
        </w:tc>
      </w:tr>
    </w:tbl>
    <w:p w:rsidR="00000000" w:rsidDel="00000000" w:rsidP="00000000" w:rsidRDefault="00000000" w:rsidRPr="00000000" w14:paraId="00000029">
      <w:pPr>
        <w:tabs>
          <w:tab w:val="left" w:leader="none" w:pos="5520"/>
          <w:tab w:val="left" w:leader="none" w:pos="5760"/>
        </w:tabs>
        <w:jc w:val="both"/>
        <w:rPr>
          <w:sz w:val="28"/>
          <w:szCs w:val="28"/>
        </w:rPr>
      </w:pPr>
      <w:r w:rsidDel="00000000" w:rsidR="00000000" w:rsidRPr="00000000">
        <w:rPr>
          <w:b w:val="1"/>
          <w:sz w:val="28"/>
          <w:szCs w:val="28"/>
          <w:rtl w:val="0"/>
        </w:rPr>
        <w:t xml:space="preserve">Запрошені: </w:t>
      </w:r>
      <w:r w:rsidDel="00000000" w:rsidR="00000000" w:rsidRPr="00000000">
        <w:rPr>
          <w:sz w:val="28"/>
          <w:szCs w:val="28"/>
          <w:rtl w:val="0"/>
        </w:rPr>
        <w:t xml:space="preserve">Сердюк Віта, головний спеціаліст Управління «Служба у справах дітей» Сумської міської ради, Іванченко Юлія старший юрист Представництва Датської ради у справах біженців в Україні.</w:t>
      </w:r>
    </w:p>
    <w:p w:rsidR="00000000" w:rsidDel="00000000" w:rsidP="00000000" w:rsidRDefault="00000000" w:rsidRPr="00000000" w14:paraId="0000002A">
      <w:pPr>
        <w:tabs>
          <w:tab w:val="left" w:leader="none" w:pos="5520"/>
          <w:tab w:val="left" w:leader="none" w:pos="5760"/>
        </w:tabs>
        <w:jc w:val="both"/>
        <w:rPr>
          <w:b w:val="1"/>
          <w:sz w:val="28"/>
          <w:szCs w:val="28"/>
        </w:rPr>
      </w:pPr>
      <w:r w:rsidDel="00000000" w:rsidR="00000000" w:rsidRPr="00000000">
        <w:rPr>
          <w:rtl w:val="0"/>
        </w:rPr>
      </w:r>
    </w:p>
    <w:p w:rsidR="00000000" w:rsidDel="00000000" w:rsidP="00000000" w:rsidRDefault="00000000" w:rsidRPr="00000000" w14:paraId="0000002B">
      <w:pPr>
        <w:tabs>
          <w:tab w:val="left" w:leader="none" w:pos="5520"/>
          <w:tab w:val="left" w:leader="none" w:pos="5760"/>
        </w:tabs>
        <w:jc w:val="both"/>
        <w:rPr>
          <w:b w:val="1"/>
          <w:sz w:val="28"/>
          <w:szCs w:val="28"/>
        </w:rPr>
      </w:pPr>
      <w:r w:rsidDel="00000000" w:rsidR="00000000" w:rsidRPr="00000000">
        <w:rPr>
          <w:b w:val="1"/>
          <w:sz w:val="28"/>
          <w:szCs w:val="28"/>
          <w:rtl w:val="0"/>
        </w:rPr>
        <w:t xml:space="preserve">Порядок денний:</w:t>
      </w:r>
    </w:p>
    <w:p w:rsidR="00000000" w:rsidDel="00000000" w:rsidP="00000000" w:rsidRDefault="00000000" w:rsidRPr="00000000" w14:paraId="0000002C">
      <w:pPr>
        <w:jc w:val="both"/>
        <w:rPr>
          <w:b w:val="1"/>
          <w:sz w:val="28"/>
          <w:szCs w:val="28"/>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tabs>
          <w:tab w:val="left" w:leader="none" w:pos="709"/>
        </w:tabs>
        <w:ind w:left="851" w:hanging="284"/>
        <w:jc w:val="both"/>
        <w:rPr>
          <w:b w:val="1"/>
          <w:color w:val="000000"/>
          <w:sz w:val="28"/>
          <w:szCs w:val="28"/>
        </w:rPr>
      </w:pPr>
      <w:r w:rsidDel="00000000" w:rsidR="00000000" w:rsidRPr="00000000">
        <w:rPr>
          <w:b w:val="1"/>
          <w:color w:val="000000"/>
          <w:sz w:val="28"/>
          <w:szCs w:val="28"/>
          <w:rtl w:val="0"/>
        </w:rPr>
        <w:t xml:space="preserve">Про погодження порядку денного.</w:t>
      </w:r>
    </w:p>
    <w:p w:rsidR="00000000" w:rsidDel="00000000" w:rsidP="00000000" w:rsidRDefault="00000000" w:rsidRPr="00000000" w14:paraId="0000002E">
      <w:pPr>
        <w:ind w:firstLine="567"/>
        <w:jc w:val="both"/>
        <w:rPr>
          <w:sz w:val="28"/>
          <w:szCs w:val="28"/>
        </w:rPr>
      </w:pPr>
      <w:r w:rsidDel="00000000" w:rsidR="00000000" w:rsidRPr="00000000">
        <w:rPr>
          <w:b w:val="1"/>
          <w:sz w:val="28"/>
          <w:szCs w:val="28"/>
          <w:rtl w:val="0"/>
        </w:rPr>
        <w:t xml:space="preserve">2. Розгляд листа від Представництва Датської ради у справах біженців в Україні щодо включення до членів Ради старшого юриста Іванченко Юлії Володимирівни. </w:t>
      </w:r>
      <w:r w:rsidDel="00000000" w:rsidR="00000000" w:rsidRPr="00000000">
        <w:rPr>
          <w:rtl w:val="0"/>
        </w:rPr>
      </w:r>
    </w:p>
    <w:p w:rsidR="00000000" w:rsidDel="00000000" w:rsidP="00000000" w:rsidRDefault="00000000" w:rsidRPr="00000000" w14:paraId="0000002F">
      <w:pPr>
        <w:tabs>
          <w:tab w:val="left" w:leader="none" w:pos="5760"/>
          <w:tab w:val="left" w:leader="none" w:pos="5954"/>
        </w:tabs>
        <w:ind w:firstLine="567"/>
        <w:jc w:val="both"/>
        <w:rPr>
          <w:b w:val="1"/>
          <w:sz w:val="28"/>
          <w:szCs w:val="28"/>
        </w:rPr>
      </w:pPr>
      <w:r w:rsidDel="00000000" w:rsidR="00000000" w:rsidRPr="00000000">
        <w:rPr>
          <w:b w:val="1"/>
          <w:sz w:val="28"/>
          <w:szCs w:val="28"/>
          <w:rtl w:val="0"/>
        </w:rPr>
        <w:t xml:space="preserve">3. Моніторингові звіти голови Ради Наталії Єсіной щодо наслідків воєнних злочинів російської федерації в Сумській громаді та стану дотримання прав людини у Сумській міській територіальній громаді</w:t>
      </w:r>
      <w:r w:rsidDel="00000000" w:rsidR="00000000" w:rsidRPr="00000000">
        <w:rPr>
          <w:b w:val="1"/>
          <w:color w:val="040c28"/>
          <w:sz w:val="28"/>
          <w:szCs w:val="28"/>
          <w:rtl w:val="0"/>
        </w:rPr>
        <w:t xml:space="preserve">.</w:t>
      </w:r>
      <w:r w:rsidDel="00000000" w:rsidR="00000000" w:rsidRPr="00000000">
        <w:rPr>
          <w:rtl w:val="0"/>
        </w:rPr>
      </w:r>
    </w:p>
    <w:p w:rsidR="00000000" w:rsidDel="00000000" w:rsidP="00000000" w:rsidRDefault="00000000" w:rsidRPr="00000000" w14:paraId="00000030">
      <w:pPr>
        <w:tabs>
          <w:tab w:val="left" w:leader="none" w:pos="709"/>
          <w:tab w:val="left" w:leader="none" w:pos="851"/>
          <w:tab w:val="left" w:leader="none" w:pos="993"/>
        </w:tabs>
        <w:ind w:firstLine="567"/>
        <w:jc w:val="both"/>
        <w:rPr>
          <w:b w:val="1"/>
          <w:sz w:val="28"/>
          <w:szCs w:val="28"/>
        </w:rPr>
      </w:pPr>
      <w:r w:rsidDel="00000000" w:rsidR="00000000" w:rsidRPr="00000000">
        <w:rPr>
          <w:b w:val="1"/>
          <w:sz w:val="28"/>
          <w:szCs w:val="28"/>
          <w:rtl w:val="0"/>
        </w:rPr>
        <w:t xml:space="preserve">4. Кроки</w:t>
      </w:r>
      <w:r w:rsidDel="00000000" w:rsidR="00000000" w:rsidRPr="00000000">
        <w:rPr>
          <w:sz w:val="28"/>
          <w:szCs w:val="28"/>
          <w:rtl w:val="0"/>
        </w:rPr>
        <w:t xml:space="preserve"> </w:t>
      </w:r>
      <w:r w:rsidDel="00000000" w:rsidR="00000000" w:rsidRPr="00000000">
        <w:rPr>
          <w:b w:val="1"/>
          <w:sz w:val="28"/>
          <w:szCs w:val="28"/>
          <w:rtl w:val="0"/>
        </w:rPr>
        <w:t xml:space="preserve">подальшої реалізації Стратегічного плану роботи Ради. </w:t>
      </w:r>
    </w:p>
    <w:p w:rsidR="00000000" w:rsidDel="00000000" w:rsidP="00000000" w:rsidRDefault="00000000" w:rsidRPr="00000000" w14:paraId="00000031">
      <w:pPr>
        <w:ind w:firstLine="567"/>
        <w:jc w:val="both"/>
        <w:rPr>
          <w:b w:val="1"/>
          <w:sz w:val="28"/>
          <w:szCs w:val="28"/>
        </w:rPr>
      </w:pP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tabs>
          <w:tab w:val="left" w:leader="none" w:pos="426"/>
          <w:tab w:val="left" w:leader="none" w:pos="8760"/>
        </w:tabs>
        <w:ind w:left="720" w:hanging="720"/>
        <w:jc w:val="both"/>
        <w:rPr>
          <w:b w:val="1"/>
          <w:color w:val="000000"/>
          <w:sz w:val="28"/>
          <w:szCs w:val="28"/>
        </w:rPr>
      </w:pPr>
      <w:bookmarkStart w:colFirst="0" w:colLast="0" w:name="_heading=h.30j0zll" w:id="1"/>
      <w:bookmarkEnd w:id="1"/>
      <w:r w:rsidDel="00000000" w:rsidR="00000000" w:rsidRPr="00000000">
        <w:rPr>
          <w:b w:val="1"/>
          <w:color w:val="000000"/>
          <w:sz w:val="28"/>
          <w:szCs w:val="28"/>
          <w:rtl w:val="0"/>
        </w:rPr>
        <w:t xml:space="preserve">З першого питання порядку денного </w:t>
      </w:r>
    </w:p>
    <w:p w:rsidR="00000000" w:rsidDel="00000000" w:rsidP="00000000" w:rsidRDefault="00000000" w:rsidRPr="00000000" w14:paraId="00000033">
      <w:pPr>
        <w:tabs>
          <w:tab w:val="left" w:leader="none" w:pos="8760"/>
        </w:tabs>
        <w:jc w:val="both"/>
        <w:rPr>
          <w:sz w:val="28"/>
          <w:szCs w:val="28"/>
        </w:rPr>
      </w:pPr>
      <w:r w:rsidDel="00000000" w:rsidR="00000000" w:rsidRPr="00000000">
        <w:rPr>
          <w:b w:val="1"/>
          <w:sz w:val="28"/>
          <w:szCs w:val="28"/>
          <w:rtl w:val="0"/>
        </w:rPr>
        <w:t xml:space="preserve">СЛУХАЛИ:</w:t>
      </w:r>
      <w:r w:rsidDel="00000000" w:rsidR="00000000" w:rsidRPr="00000000">
        <w:rPr>
          <w:rtl w:val="0"/>
        </w:rPr>
      </w:r>
    </w:p>
    <w:p w:rsidR="00000000" w:rsidDel="00000000" w:rsidP="00000000" w:rsidRDefault="00000000" w:rsidRPr="00000000" w14:paraId="00000034">
      <w:pPr>
        <w:tabs>
          <w:tab w:val="left" w:leader="none" w:pos="567"/>
          <w:tab w:val="left" w:leader="none" w:pos="1440"/>
        </w:tabs>
        <w:ind w:firstLine="567"/>
        <w:jc w:val="both"/>
        <w:rPr>
          <w:sz w:val="28"/>
          <w:szCs w:val="28"/>
        </w:rPr>
      </w:pPr>
      <w:r w:rsidDel="00000000" w:rsidR="00000000" w:rsidRPr="00000000">
        <w:rPr>
          <w:sz w:val="28"/>
          <w:szCs w:val="28"/>
          <w:rtl w:val="0"/>
        </w:rPr>
        <w:t xml:space="preserve">Голову Ради Єсіну Наталію, яка привітала присутніх, повідомила, що кворум є, засідання ради є правомочним та відкрила засідання. </w:t>
      </w:r>
    </w:p>
    <w:p w:rsidR="00000000" w:rsidDel="00000000" w:rsidP="00000000" w:rsidRDefault="00000000" w:rsidRPr="00000000" w14:paraId="00000035">
      <w:pPr>
        <w:tabs>
          <w:tab w:val="left" w:leader="none" w:pos="567"/>
          <w:tab w:val="left" w:leader="none" w:pos="1440"/>
        </w:tabs>
        <w:ind w:firstLine="567"/>
        <w:jc w:val="both"/>
        <w:rPr>
          <w:sz w:val="28"/>
          <w:szCs w:val="28"/>
        </w:rPr>
      </w:pPr>
      <w:r w:rsidDel="00000000" w:rsidR="00000000" w:rsidRPr="00000000">
        <w:rPr>
          <w:sz w:val="28"/>
          <w:szCs w:val="28"/>
          <w:rtl w:val="0"/>
        </w:rPr>
        <w:t xml:space="preserve">Запропонувала погодити порядок денний чергового засідання Ради.</w:t>
      </w:r>
    </w:p>
    <w:p w:rsidR="00000000" w:rsidDel="00000000" w:rsidP="00000000" w:rsidRDefault="00000000" w:rsidRPr="00000000" w14:paraId="00000036">
      <w:pPr>
        <w:tabs>
          <w:tab w:val="left" w:leader="none" w:pos="567"/>
          <w:tab w:val="left" w:leader="none" w:pos="1440"/>
        </w:tabs>
        <w:ind w:firstLine="567"/>
        <w:jc w:val="both"/>
        <w:rPr>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ВИРІШИЛИ:</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Погодити порядок денний.</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ГОЛОСУВАЛИ:</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«за» - 14, «проти» - 0, «утримались» - 0.</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Рішення прийнято.</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tabs>
          <w:tab w:val="left" w:leader="none" w:pos="426"/>
          <w:tab w:val="left" w:leader="none" w:pos="8760"/>
        </w:tabs>
        <w:ind w:left="709" w:hanging="709"/>
        <w:jc w:val="both"/>
        <w:rPr>
          <w:b w:val="1"/>
          <w:color w:val="000000"/>
          <w:sz w:val="28"/>
          <w:szCs w:val="28"/>
        </w:rPr>
      </w:pPr>
      <w:r w:rsidDel="00000000" w:rsidR="00000000" w:rsidRPr="00000000">
        <w:rPr>
          <w:b w:val="1"/>
          <w:color w:val="000000"/>
          <w:sz w:val="28"/>
          <w:szCs w:val="28"/>
          <w:rtl w:val="0"/>
        </w:rPr>
        <w:t xml:space="preserve">З другого питання порядку денного </w:t>
      </w:r>
    </w:p>
    <w:p w:rsidR="00000000" w:rsidDel="00000000" w:rsidP="00000000" w:rsidRDefault="00000000" w:rsidRPr="00000000" w14:paraId="0000003F">
      <w:pPr>
        <w:tabs>
          <w:tab w:val="left" w:leader="none" w:pos="284"/>
        </w:tabs>
        <w:jc w:val="both"/>
        <w:rPr>
          <w:b w:val="1"/>
          <w:sz w:val="28"/>
          <w:szCs w:val="28"/>
        </w:rPr>
      </w:pPr>
      <w:r w:rsidDel="00000000" w:rsidR="00000000" w:rsidRPr="00000000">
        <w:rPr>
          <w:b w:val="1"/>
          <w:sz w:val="28"/>
          <w:szCs w:val="28"/>
          <w:rtl w:val="0"/>
        </w:rPr>
        <w:t xml:space="preserve">СЛУХАЛИ: </w:t>
      </w:r>
    </w:p>
    <w:p w:rsidR="00000000" w:rsidDel="00000000" w:rsidP="00000000" w:rsidRDefault="00000000" w:rsidRPr="00000000" w14:paraId="00000040">
      <w:pPr>
        <w:tabs>
          <w:tab w:val="left" w:leader="none" w:pos="284"/>
        </w:tabs>
        <w:ind w:firstLine="567"/>
        <w:jc w:val="both"/>
        <w:rPr>
          <w:sz w:val="28"/>
          <w:szCs w:val="28"/>
        </w:rPr>
      </w:pPr>
      <w:r w:rsidDel="00000000" w:rsidR="00000000" w:rsidRPr="00000000">
        <w:rPr>
          <w:sz w:val="28"/>
          <w:szCs w:val="28"/>
          <w:rtl w:val="0"/>
        </w:rPr>
        <w:t xml:space="preserve">Члена Ради Лаврик Тетяну, яка повідомила, що на ім’я голови Ради надійшов лист з усіма документами, що передбачені Положенням про Раду з питань внутрішньо переміщених осіб Сумської міської територіальної громади, затвердженого розпорядженням міського голови від 13.12.2023 № 387-Р, від Представництва Датської ради у справах біженців в Україні, щодо включення до членів Ради старшого юриста Іванченко Юлії Володимирівни.</w:t>
      </w:r>
    </w:p>
    <w:p w:rsidR="00000000" w:rsidDel="00000000" w:rsidP="00000000" w:rsidRDefault="00000000" w:rsidRPr="00000000" w14:paraId="00000041">
      <w:pPr>
        <w:tabs>
          <w:tab w:val="left" w:leader="none" w:pos="284"/>
        </w:tabs>
        <w:ind w:firstLine="567"/>
        <w:jc w:val="both"/>
        <w:rPr>
          <w:sz w:val="28"/>
          <w:szCs w:val="28"/>
        </w:rPr>
      </w:pPr>
      <w:r w:rsidDel="00000000" w:rsidR="00000000" w:rsidRPr="00000000">
        <w:rPr>
          <w:sz w:val="28"/>
          <w:szCs w:val="28"/>
          <w:rtl w:val="0"/>
        </w:rPr>
        <w:t xml:space="preserve">Зазначила, що Представництво Датської ради у справах біженців в                Україні – організація, що захищає та допомагає побудувати стабільне майбутнє для людей і громад, які постраждали внаслідок військової агресії. Відповідно до статуту ціллю діяльності Представництва є захист біженців та внутрішньо переміщених осіб і сприяння довгостроковому вирішенню їх проблем на основі гуманітарних принципів і прав людини.</w:t>
      </w:r>
    </w:p>
    <w:p w:rsidR="00000000" w:rsidDel="00000000" w:rsidP="00000000" w:rsidRDefault="00000000" w:rsidRPr="00000000" w14:paraId="00000042">
      <w:pPr>
        <w:tabs>
          <w:tab w:val="left" w:leader="none" w:pos="284"/>
        </w:tabs>
        <w:ind w:firstLine="567"/>
        <w:jc w:val="both"/>
        <w:rPr>
          <w:sz w:val="28"/>
          <w:szCs w:val="28"/>
        </w:rPr>
      </w:pPr>
      <w:r w:rsidDel="00000000" w:rsidR="00000000" w:rsidRPr="00000000">
        <w:rPr>
          <w:sz w:val="28"/>
          <w:szCs w:val="28"/>
          <w:rtl w:val="0"/>
        </w:rPr>
        <w:t xml:space="preserve">Голову Ради Єсіну Наталію, яка запропонувала включити до членів Ради старшого юриста Представництва Датської ради у справах біженців в Україні Іванченко Юлію Володимирівну.</w:t>
      </w:r>
    </w:p>
    <w:p w:rsidR="00000000" w:rsidDel="00000000" w:rsidP="00000000" w:rsidRDefault="00000000" w:rsidRPr="00000000" w14:paraId="00000043">
      <w:pPr>
        <w:tabs>
          <w:tab w:val="left" w:leader="none" w:pos="284"/>
        </w:tabs>
        <w:ind w:firstLine="567"/>
        <w:jc w:val="both"/>
        <w:rPr>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ВИРІШИЛИ:</w:t>
      </w:r>
    </w:p>
    <w:p w:rsidR="00000000" w:rsidDel="00000000" w:rsidP="00000000" w:rsidRDefault="00000000" w:rsidRPr="00000000" w14:paraId="00000045">
      <w:pPr>
        <w:tabs>
          <w:tab w:val="left" w:leader="none" w:pos="284"/>
        </w:tabs>
        <w:ind w:firstLine="567"/>
        <w:jc w:val="both"/>
        <w:rPr>
          <w:sz w:val="28"/>
          <w:szCs w:val="28"/>
        </w:rPr>
      </w:pPr>
      <w:r w:rsidDel="00000000" w:rsidR="00000000" w:rsidRPr="00000000">
        <w:rPr>
          <w:sz w:val="28"/>
          <w:szCs w:val="28"/>
          <w:rtl w:val="0"/>
        </w:rPr>
        <w:t xml:space="preserve">Включити до членів Ради старшого юриста Представництва Датської ради у справах біженців в Україні Іванченко Юлію Володимирівну.</w:t>
      </w:r>
    </w:p>
    <w:p w:rsidR="00000000" w:rsidDel="00000000" w:rsidP="00000000" w:rsidRDefault="00000000" w:rsidRPr="00000000" w14:paraId="00000046">
      <w:pPr>
        <w:tabs>
          <w:tab w:val="left" w:leader="none" w:pos="284"/>
        </w:tabs>
        <w:ind w:firstLine="567"/>
        <w:jc w:val="both"/>
        <w:rPr>
          <w:sz w:val="28"/>
          <w:szCs w:val="28"/>
        </w:rPr>
      </w:pPr>
      <w:r w:rsidDel="00000000" w:rsidR="00000000" w:rsidRPr="00000000">
        <w:rPr>
          <w:sz w:val="28"/>
          <w:szCs w:val="28"/>
          <w:rtl w:val="0"/>
        </w:rPr>
        <w:t xml:space="preserve">Департаменту соціального захисту населення Сумської міської ради підготувати відповідне розпорядження міського голови.</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ГОЛОСУВАЛИ:</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«за» - 14, «проти» - 0, «утримались» - 0.</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Рішення прийнято.</w:t>
      </w:r>
    </w:p>
    <w:p w:rsidR="00000000" w:rsidDel="00000000" w:rsidP="00000000" w:rsidRDefault="00000000" w:rsidRPr="00000000" w14:paraId="0000004B">
      <w:pPr>
        <w:tabs>
          <w:tab w:val="left" w:leader="none" w:pos="284"/>
        </w:tabs>
        <w:jc w:val="both"/>
        <w:rPr>
          <w:sz w:val="28"/>
          <w:szCs w:val="28"/>
        </w:rPr>
      </w:pP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tabs>
          <w:tab w:val="left" w:leader="none" w:pos="426"/>
          <w:tab w:val="left" w:leader="none" w:pos="8760"/>
        </w:tabs>
        <w:ind w:left="709" w:hanging="709"/>
        <w:jc w:val="both"/>
        <w:rPr>
          <w:b w:val="1"/>
          <w:color w:val="000000"/>
          <w:sz w:val="28"/>
          <w:szCs w:val="28"/>
        </w:rPr>
      </w:pPr>
      <w:r w:rsidDel="00000000" w:rsidR="00000000" w:rsidRPr="00000000">
        <w:rPr>
          <w:b w:val="1"/>
          <w:color w:val="000000"/>
          <w:sz w:val="28"/>
          <w:szCs w:val="28"/>
          <w:rtl w:val="0"/>
        </w:rPr>
        <w:t xml:space="preserve">З третього питання порядку денного </w:t>
      </w:r>
    </w:p>
    <w:p w:rsidR="00000000" w:rsidDel="00000000" w:rsidP="00000000" w:rsidRDefault="00000000" w:rsidRPr="00000000" w14:paraId="0000004D">
      <w:pPr>
        <w:tabs>
          <w:tab w:val="left" w:leader="none" w:pos="284"/>
        </w:tabs>
        <w:jc w:val="both"/>
        <w:rPr>
          <w:b w:val="1"/>
          <w:sz w:val="28"/>
          <w:szCs w:val="28"/>
        </w:rPr>
      </w:pPr>
      <w:r w:rsidDel="00000000" w:rsidR="00000000" w:rsidRPr="00000000">
        <w:rPr>
          <w:b w:val="1"/>
          <w:sz w:val="28"/>
          <w:szCs w:val="28"/>
          <w:rtl w:val="0"/>
        </w:rPr>
        <w:t xml:space="preserve">СЛУХАЛИ:</w:t>
      </w:r>
    </w:p>
    <w:p w:rsidR="00000000" w:rsidDel="00000000" w:rsidP="00000000" w:rsidRDefault="00000000" w:rsidRPr="00000000" w14:paraId="0000004E">
      <w:pPr>
        <w:tabs>
          <w:tab w:val="left" w:leader="none" w:pos="284"/>
        </w:tabs>
        <w:ind w:firstLine="709"/>
        <w:jc w:val="both"/>
        <w:rPr>
          <w:sz w:val="28"/>
          <w:szCs w:val="28"/>
        </w:rPr>
      </w:pPr>
      <w:r w:rsidDel="00000000" w:rsidR="00000000" w:rsidRPr="00000000">
        <w:rPr>
          <w:sz w:val="28"/>
          <w:szCs w:val="28"/>
          <w:rtl w:val="0"/>
        </w:rPr>
        <w:t xml:space="preserve">Голову Ради Єсіну Наталію, яка запропонувала для огляду Моніторинговий звіт «Наслідки воєнних злочинів російської федерації в Сумській громаді».</w:t>
      </w:r>
    </w:p>
    <w:p w:rsidR="00000000" w:rsidDel="00000000" w:rsidP="00000000" w:rsidRDefault="00000000" w:rsidRPr="00000000" w14:paraId="0000004F">
      <w:pPr>
        <w:tabs>
          <w:tab w:val="left" w:leader="none" w:pos="284"/>
        </w:tabs>
        <w:ind w:firstLine="709"/>
        <w:jc w:val="both"/>
        <w:rPr>
          <w:sz w:val="28"/>
          <w:szCs w:val="28"/>
        </w:rPr>
      </w:pPr>
      <w:r w:rsidDel="00000000" w:rsidR="00000000" w:rsidRPr="00000000">
        <w:rPr>
          <w:sz w:val="28"/>
          <w:szCs w:val="28"/>
          <w:rtl w:val="0"/>
        </w:rPr>
        <w:t xml:space="preserve">Звіт відображає реальний стан наслідків воєнних злочинів, які було вчинено на території Сумської громади за період з 24 лютого 2022 року по                        24 лютого 2024 року.</w:t>
      </w:r>
    </w:p>
    <w:p w:rsidR="00000000" w:rsidDel="00000000" w:rsidP="00000000" w:rsidRDefault="00000000" w:rsidRPr="00000000" w14:paraId="00000050">
      <w:pPr>
        <w:tabs>
          <w:tab w:val="left" w:leader="none" w:pos="284"/>
        </w:tabs>
        <w:ind w:firstLine="709"/>
        <w:jc w:val="both"/>
        <w:rPr>
          <w:sz w:val="28"/>
          <w:szCs w:val="28"/>
        </w:rPr>
      </w:pPr>
      <w:r w:rsidDel="00000000" w:rsidR="00000000" w:rsidRPr="00000000">
        <w:rPr>
          <w:sz w:val="28"/>
          <w:szCs w:val="28"/>
          <w:rtl w:val="0"/>
        </w:rPr>
        <w:t xml:space="preserve">Територія проведення дослідження: Сумська громада, Сумська область.</w:t>
      </w:r>
    </w:p>
    <w:p w:rsidR="00000000" w:rsidDel="00000000" w:rsidP="00000000" w:rsidRDefault="00000000" w:rsidRPr="00000000" w14:paraId="00000051">
      <w:pPr>
        <w:tabs>
          <w:tab w:val="left" w:leader="none" w:pos="284"/>
        </w:tabs>
        <w:ind w:firstLine="709"/>
        <w:jc w:val="both"/>
        <w:rPr>
          <w:sz w:val="28"/>
          <w:szCs w:val="28"/>
        </w:rPr>
      </w:pPr>
      <w:r w:rsidDel="00000000" w:rsidR="00000000" w:rsidRPr="00000000">
        <w:rPr>
          <w:sz w:val="28"/>
          <w:szCs w:val="28"/>
          <w:rtl w:val="0"/>
        </w:rPr>
        <w:t xml:space="preserve">Метою дослідження вчинених воєнних злочинів в Сумській міській територіальній громаді та їх наслідків полягає у вивченні обставин, характеру та наслідків воєнних злочинів, які сталися на цій території внаслідок збройної агресії російської федерації.</w:t>
      </w:r>
    </w:p>
    <w:p w:rsidR="00000000" w:rsidDel="00000000" w:rsidP="00000000" w:rsidRDefault="00000000" w:rsidRPr="00000000" w14:paraId="00000052">
      <w:pPr>
        <w:tabs>
          <w:tab w:val="left" w:leader="none" w:pos="284"/>
        </w:tabs>
        <w:ind w:firstLine="709"/>
        <w:jc w:val="both"/>
        <w:rPr>
          <w:sz w:val="28"/>
          <w:szCs w:val="28"/>
        </w:rPr>
      </w:pPr>
      <w:r w:rsidDel="00000000" w:rsidR="00000000" w:rsidRPr="00000000">
        <w:rPr>
          <w:sz w:val="28"/>
          <w:szCs w:val="28"/>
          <w:rtl w:val="0"/>
        </w:rPr>
        <w:t xml:space="preserve">Основні цілі дослідження включають:</w:t>
      </w:r>
    </w:p>
    <w:p w:rsidR="00000000" w:rsidDel="00000000" w:rsidP="00000000" w:rsidRDefault="00000000" w:rsidRPr="00000000" w14:paraId="00000053">
      <w:pPr>
        <w:tabs>
          <w:tab w:val="left" w:leader="none" w:pos="284"/>
        </w:tabs>
        <w:ind w:firstLine="709"/>
        <w:jc w:val="both"/>
        <w:rPr>
          <w:sz w:val="28"/>
          <w:szCs w:val="28"/>
        </w:rPr>
      </w:pPr>
      <w:r w:rsidDel="00000000" w:rsidR="00000000" w:rsidRPr="00000000">
        <w:rPr>
          <w:sz w:val="28"/>
          <w:szCs w:val="28"/>
          <w:rtl w:val="0"/>
        </w:rPr>
        <w:t xml:space="preserve">1. Збір об’єктивної інформації: дослідження спрямоване на збір та аналіз доступної інформації про воєнні злочини, включаючи свідчення очевидців, документи, засвідчені факти, відео- та фотоматеріали.</w:t>
      </w:r>
    </w:p>
    <w:p w:rsidR="00000000" w:rsidDel="00000000" w:rsidP="00000000" w:rsidRDefault="00000000" w:rsidRPr="00000000" w14:paraId="00000054">
      <w:pPr>
        <w:tabs>
          <w:tab w:val="left" w:leader="none" w:pos="284"/>
        </w:tabs>
        <w:ind w:firstLine="709"/>
        <w:jc w:val="both"/>
        <w:rPr>
          <w:sz w:val="28"/>
          <w:szCs w:val="28"/>
        </w:rPr>
      </w:pPr>
      <w:r w:rsidDel="00000000" w:rsidR="00000000" w:rsidRPr="00000000">
        <w:rPr>
          <w:sz w:val="28"/>
          <w:szCs w:val="28"/>
          <w:rtl w:val="0"/>
        </w:rPr>
        <w:t xml:space="preserve">2. Встановлення фактів: метою є встановлення конкретних випадків воєнних злочинів, таких як напади на цивільне населення, обстріли мирних місць, руйнування об’єктів інфраструктури тощо.</w:t>
      </w:r>
    </w:p>
    <w:p w:rsidR="00000000" w:rsidDel="00000000" w:rsidP="00000000" w:rsidRDefault="00000000" w:rsidRPr="00000000" w14:paraId="00000055">
      <w:pPr>
        <w:tabs>
          <w:tab w:val="left" w:leader="none" w:pos="284"/>
        </w:tabs>
        <w:ind w:firstLine="709"/>
        <w:jc w:val="both"/>
        <w:rPr>
          <w:sz w:val="28"/>
          <w:szCs w:val="28"/>
        </w:rPr>
      </w:pPr>
      <w:r w:rsidDel="00000000" w:rsidR="00000000" w:rsidRPr="00000000">
        <w:rPr>
          <w:sz w:val="28"/>
          <w:szCs w:val="28"/>
          <w:rtl w:val="0"/>
        </w:rPr>
        <w:t xml:space="preserve">3. Оцінка наслідків: дослідження спрямоване на визначення наслідків воєнних злочинів для життя та добробуту місцевого населення, включаючи фізичні та психологічні травми, збитки майну, руйнування інфраструктури, втрати людського капіталу та інші види шкоди.</w:t>
      </w:r>
    </w:p>
    <w:p w:rsidR="00000000" w:rsidDel="00000000" w:rsidP="00000000" w:rsidRDefault="00000000" w:rsidRPr="00000000" w14:paraId="00000056">
      <w:pPr>
        <w:tabs>
          <w:tab w:val="left" w:leader="none" w:pos="284"/>
        </w:tabs>
        <w:spacing w:after="240" w:lineRule="auto"/>
        <w:ind w:firstLine="709"/>
        <w:jc w:val="both"/>
        <w:rPr>
          <w:sz w:val="28"/>
          <w:szCs w:val="28"/>
        </w:rPr>
      </w:pPr>
      <w:r w:rsidDel="00000000" w:rsidR="00000000" w:rsidRPr="00000000">
        <w:rPr>
          <w:sz w:val="28"/>
          <w:szCs w:val="28"/>
          <w:rtl w:val="0"/>
        </w:rPr>
        <w:t xml:space="preserve">4. Просування принципів прав людини та міжнародного гуманітарного права: дослідження сприяє підвищенню усвідомлення про права людини та міжнародні норми, які регулюють ведення воєнних дій, та популяризації цих принципів серед місцевого та світового співтовариства.</w:t>
      </w:r>
    </w:p>
    <w:p w:rsidR="00000000" w:rsidDel="00000000" w:rsidP="00000000" w:rsidRDefault="00000000" w:rsidRPr="00000000" w14:paraId="00000057">
      <w:pPr>
        <w:tabs>
          <w:tab w:val="left" w:leader="none" w:pos="284"/>
        </w:tabs>
        <w:ind w:firstLine="709"/>
        <w:jc w:val="both"/>
        <w:rPr>
          <w:sz w:val="28"/>
          <w:szCs w:val="28"/>
        </w:rPr>
      </w:pPr>
      <w:r w:rsidDel="00000000" w:rsidR="00000000" w:rsidRPr="00000000">
        <w:rPr>
          <w:sz w:val="28"/>
          <w:szCs w:val="28"/>
          <w:rtl w:val="0"/>
        </w:rPr>
        <w:t xml:space="preserve">Голову Ради Єсіну Наталію, яка проінформувала, що Громадська приймальня Української Гельсінської спілки з прав людини в м. Суми провела моніторинг безпеки в Сумській та Садівській громадах Сумської області.</w:t>
      </w:r>
    </w:p>
    <w:p w:rsidR="00000000" w:rsidDel="00000000" w:rsidP="00000000" w:rsidRDefault="00000000" w:rsidRPr="00000000" w14:paraId="00000058">
      <w:pPr>
        <w:tabs>
          <w:tab w:val="left" w:leader="none" w:pos="284"/>
        </w:tabs>
        <w:ind w:firstLine="709"/>
        <w:jc w:val="both"/>
        <w:rPr>
          <w:sz w:val="28"/>
          <w:szCs w:val="28"/>
        </w:rPr>
      </w:pPr>
      <w:r w:rsidDel="00000000" w:rsidR="00000000" w:rsidRPr="00000000">
        <w:rPr>
          <w:sz w:val="28"/>
          <w:szCs w:val="28"/>
          <w:rtl w:val="0"/>
        </w:rPr>
        <w:t xml:space="preserve">Майже всі данні шо стосуються Сумської громади були взяті з відкритих джерел. На жаль, звіти та програми за останні два роки на сайті Сумської міської ради закриті “з безпекових питань”, що ускладнило роботу. Довелось збирати інформацію буквально по крупинцях. Долучились до дослідження правоохоронці з ГУ НПУ в Сумській області, а також спеціалісти з комунікації ГУ Державної служби України з надзвичайних ситуацій в Сумській області. Вони надали інформацію щодо співпраці та спільних дій в безпековій сфері.</w:t>
      </w:r>
    </w:p>
    <w:p w:rsidR="00000000" w:rsidDel="00000000" w:rsidP="00000000" w:rsidRDefault="00000000" w:rsidRPr="00000000" w14:paraId="00000059">
      <w:pPr>
        <w:tabs>
          <w:tab w:val="left" w:leader="none" w:pos="284"/>
        </w:tabs>
        <w:ind w:firstLine="709"/>
        <w:jc w:val="both"/>
        <w:rPr>
          <w:sz w:val="28"/>
          <w:szCs w:val="28"/>
        </w:rPr>
      </w:pPr>
      <w:r w:rsidDel="00000000" w:rsidR="00000000" w:rsidRPr="00000000">
        <w:rPr>
          <w:sz w:val="28"/>
          <w:szCs w:val="28"/>
          <w:rtl w:val="0"/>
        </w:rPr>
        <w:t xml:space="preserve">Так, наприклад, у 25 закладах загальної середньої освіти Сумської громади в цьому році розпочався проєкт «Офіцер безпеки». Цей проєкт розрахований на 2024-2025 роки, мета – зробити освітній простір безпечнішим для учнів та вчителів. На офіцерів безпеки покладені обов’язки та повноваження, тож до старту проєкту, освітяни провели опитування батьків щодо їх ставлення до новозмін. У вересні 2023 року Сумська міська рада запустила чат-бот «Суми 15-80». У ньому є інформація про роботи комунальних, транспортних і соціальних служб. У чат-боті можна подати звернення до міськради щодо проблем у місті. В тому числі, з безпекових питань. Крім того, з початку 2023 року в місті налагоджують роботу світлофорів так, аби вона не залежала від відключень електроенергії.</w:t>
      </w:r>
    </w:p>
    <w:p w:rsidR="00000000" w:rsidDel="00000000" w:rsidP="00000000" w:rsidRDefault="00000000" w:rsidRPr="00000000" w14:paraId="0000005A">
      <w:pPr>
        <w:tabs>
          <w:tab w:val="left" w:leader="none" w:pos="284"/>
        </w:tabs>
        <w:ind w:firstLine="709"/>
        <w:jc w:val="both"/>
        <w:rPr>
          <w:sz w:val="28"/>
          <w:szCs w:val="28"/>
        </w:rPr>
      </w:pPr>
      <w:r w:rsidDel="00000000" w:rsidR="00000000" w:rsidRPr="00000000">
        <w:rPr>
          <w:sz w:val="28"/>
          <w:szCs w:val="28"/>
          <w:rtl w:val="0"/>
        </w:rPr>
        <w:t xml:space="preserve">Для проведення аналізу зусиль місцевої влади щодо забезпечення безпекових умов в їх громадах використовується методика Місцевого індексу прав людини. Команда дослідників аналізує місцеві політики, збирає інформацію з відкритих джерел, відправляє інформаційні запити. Досліджуються рішення та дії місцевої влади щодо укриттів, евакуації, технічного забезпечення повідомлень для місцевих мешканців про тривогу, організація процесів евакуації, співпраці з правоохоронцями та рятувальниками тощо.</w:t>
      </w:r>
    </w:p>
    <w:p w:rsidR="00000000" w:rsidDel="00000000" w:rsidP="00000000" w:rsidRDefault="00000000" w:rsidRPr="00000000" w14:paraId="0000005B">
      <w:pPr>
        <w:tabs>
          <w:tab w:val="left" w:leader="none" w:pos="284"/>
        </w:tabs>
        <w:ind w:firstLine="709"/>
        <w:jc w:val="both"/>
        <w:rPr>
          <w:sz w:val="28"/>
          <w:szCs w:val="28"/>
        </w:rPr>
      </w:pPr>
      <w:r w:rsidDel="00000000" w:rsidR="00000000" w:rsidRPr="00000000">
        <w:rPr>
          <w:sz w:val="28"/>
          <w:szCs w:val="28"/>
          <w:rtl w:val="0"/>
        </w:rPr>
        <w:t xml:space="preserve">Планується, що дослідження допоможе виявити як найбільш критичні прогалини, так і вдалі практики в сфері безпеки. У звітах також сформульовані рекомендації, які мають вдосконалити співпрацю влади, правоохоронців та громадського сектору.</w:t>
      </w:r>
    </w:p>
    <w:p w:rsidR="00000000" w:rsidDel="00000000" w:rsidP="00000000" w:rsidRDefault="00000000" w:rsidRPr="00000000" w14:paraId="0000005C">
      <w:pPr>
        <w:tabs>
          <w:tab w:val="left" w:leader="none" w:pos="284"/>
        </w:tabs>
        <w:ind w:firstLine="709"/>
        <w:jc w:val="both"/>
        <w:rPr>
          <w:sz w:val="28"/>
          <w:szCs w:val="28"/>
        </w:rPr>
      </w:pPr>
      <w:r w:rsidDel="00000000" w:rsidR="00000000" w:rsidRPr="00000000">
        <w:rPr>
          <w:sz w:val="28"/>
          <w:szCs w:val="28"/>
          <w:rtl w:val="0"/>
        </w:rPr>
        <w:t xml:space="preserve">Цей процес відбувається в тому числі в рамках реалізації стратегічного плану діяльності Ради ВПО в Сумській міській територіальній громаді та Ради ВПО Сумської області, а також участі організації «Північна правозахисна група», на базі якої працює приймальня, в діяльності Коаліції 1325, зокрема, реалізації регіонального плану заходів «Жінки, мир, безпека».</w:t>
      </w:r>
    </w:p>
    <w:p w:rsidR="00000000" w:rsidDel="00000000" w:rsidP="00000000" w:rsidRDefault="00000000" w:rsidRPr="00000000" w14:paraId="0000005D">
      <w:pPr>
        <w:tabs>
          <w:tab w:val="left" w:leader="none" w:pos="284"/>
        </w:tabs>
        <w:jc w:val="both"/>
        <w:rPr>
          <w:b w:val="1"/>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ВИРІШИЛИ:</w:t>
      </w:r>
    </w:p>
    <w:p w:rsidR="00000000" w:rsidDel="00000000" w:rsidP="00000000" w:rsidRDefault="00000000" w:rsidRPr="00000000" w14:paraId="0000005F">
      <w:pPr>
        <w:tabs>
          <w:tab w:val="left" w:leader="none" w:pos="5760"/>
          <w:tab w:val="left" w:leader="none" w:pos="5954"/>
        </w:tabs>
        <w:ind w:firstLine="567"/>
        <w:jc w:val="both"/>
        <w:rPr>
          <w:sz w:val="28"/>
          <w:szCs w:val="28"/>
        </w:rPr>
      </w:pPr>
      <w:r w:rsidDel="00000000" w:rsidR="00000000" w:rsidRPr="00000000">
        <w:rPr>
          <w:sz w:val="28"/>
          <w:szCs w:val="28"/>
          <w:rtl w:val="0"/>
        </w:rPr>
        <w:t xml:space="preserve">Взяти до відома інформацію що зазначена у моніторингових звітах голови Ради Наталії Єсіной щодо наслідків воєнних злочинів російської федерації в Сумській громаді та стану дотримання прав людини у Сумській міській територіальній громаді</w:t>
      </w:r>
      <w:r w:rsidDel="00000000" w:rsidR="00000000" w:rsidRPr="00000000">
        <w:rPr>
          <w:color w:val="040c28"/>
          <w:sz w:val="28"/>
          <w:szCs w:val="28"/>
          <w:rtl w:val="0"/>
        </w:rPr>
        <w:t xml:space="preserv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leader="none" w:pos="426"/>
          <w:tab w:val="left" w:leader="none" w:pos="8760"/>
        </w:tabs>
        <w:ind w:left="709" w:hanging="709"/>
        <w:jc w:val="both"/>
        <w:rPr>
          <w:b w:val="1"/>
          <w:color w:val="000000"/>
          <w:sz w:val="28"/>
          <w:szCs w:val="28"/>
        </w:rPr>
      </w:pPr>
      <w:r w:rsidDel="00000000" w:rsidR="00000000" w:rsidRPr="00000000">
        <w:rPr>
          <w:b w:val="1"/>
          <w:color w:val="000000"/>
          <w:sz w:val="28"/>
          <w:szCs w:val="28"/>
          <w:rtl w:val="0"/>
        </w:rPr>
        <w:t xml:space="preserve">З четвертого питання порядку денного </w:t>
      </w:r>
    </w:p>
    <w:p w:rsidR="00000000" w:rsidDel="00000000" w:rsidP="00000000" w:rsidRDefault="00000000" w:rsidRPr="00000000" w14:paraId="00000062">
      <w:pPr>
        <w:tabs>
          <w:tab w:val="left" w:leader="none" w:pos="284"/>
        </w:tabs>
        <w:jc w:val="both"/>
        <w:rPr>
          <w:b w:val="1"/>
          <w:sz w:val="28"/>
          <w:szCs w:val="28"/>
        </w:rPr>
      </w:pPr>
      <w:r w:rsidDel="00000000" w:rsidR="00000000" w:rsidRPr="00000000">
        <w:rPr>
          <w:b w:val="1"/>
          <w:sz w:val="28"/>
          <w:szCs w:val="28"/>
          <w:rtl w:val="0"/>
        </w:rPr>
        <w:t xml:space="preserve">СЛУХАЛИ: </w:t>
      </w:r>
    </w:p>
    <w:p w:rsidR="00000000" w:rsidDel="00000000" w:rsidP="00000000" w:rsidRDefault="00000000" w:rsidRPr="00000000" w14:paraId="00000063">
      <w:pPr>
        <w:ind w:firstLine="709"/>
        <w:jc w:val="both"/>
        <w:rPr>
          <w:sz w:val="28"/>
          <w:szCs w:val="28"/>
        </w:rPr>
      </w:pPr>
      <w:r w:rsidDel="00000000" w:rsidR="00000000" w:rsidRPr="00000000">
        <w:rPr>
          <w:sz w:val="28"/>
          <w:szCs w:val="28"/>
          <w:rtl w:val="0"/>
        </w:rPr>
        <w:t xml:space="preserve">Заступника голови Ради Резніченко Тетяну, яка зазначила, що одним із стратегічних напрямків інтеграції внутрішньо переміщених осіб є розробка дорожньої карти для адаптації внутрішньо переміщених осіб в Сумській міській територіальній громаді. Запропонувала до наступного засідання Ради підготувати та узагальнити інформацію для створення дорожньої карти для внутрішньо переміщених осіб Сумської міської територіальної громади. </w:t>
      </w:r>
    </w:p>
    <w:p w:rsidR="00000000" w:rsidDel="00000000" w:rsidP="00000000" w:rsidRDefault="00000000" w:rsidRPr="00000000" w14:paraId="00000064">
      <w:pPr>
        <w:ind w:firstLine="709"/>
        <w:jc w:val="both"/>
        <w:rPr>
          <w:sz w:val="28"/>
          <w:szCs w:val="28"/>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ВИРІШИЛИ:</w:t>
      </w:r>
    </w:p>
    <w:p w:rsidR="00000000" w:rsidDel="00000000" w:rsidP="00000000" w:rsidRDefault="00000000" w:rsidRPr="00000000" w14:paraId="00000066">
      <w:pPr>
        <w:ind w:firstLine="709"/>
        <w:jc w:val="both"/>
        <w:rPr>
          <w:sz w:val="28"/>
          <w:szCs w:val="28"/>
        </w:rPr>
      </w:pPr>
      <w:r w:rsidDel="00000000" w:rsidR="00000000" w:rsidRPr="00000000">
        <w:rPr>
          <w:sz w:val="28"/>
          <w:szCs w:val="28"/>
          <w:rtl w:val="0"/>
        </w:rPr>
        <w:t xml:space="preserve">Департаменту соціального захисту населення Сумської міської ради, Управлінню охорони здоров’я Сумської міської ради, Управлінню освіти і науки Сумської міської ради, Управлінню «Центр надання адміністративних послуг у м. Суми» Сумської міської ради, Управлінню «Служба у справах дітей» Сумської міської ради, Департаменту інфраструктури міста Сумської міської ради, Сумській філії Сумському обласного центру зайнятості,:</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ind w:left="0" w:firstLine="360"/>
        <w:jc w:val="both"/>
        <w:rPr>
          <w:sz w:val="28"/>
          <w:szCs w:val="28"/>
        </w:rPr>
      </w:pPr>
      <w:r w:rsidDel="00000000" w:rsidR="00000000" w:rsidRPr="00000000">
        <w:rPr>
          <w:sz w:val="28"/>
          <w:szCs w:val="28"/>
          <w:rtl w:val="0"/>
        </w:rPr>
        <w:t xml:space="preserve">підготувати та надати для узагальнення інформацію про послуги, які надаються внутрішньо переміщеним особам та контакти для звернення, з метою створення дорожньої карти для внутрішньо переміщених осіб Сумської міської територіальної громади </w:t>
      </w:r>
    </w:p>
    <w:p w:rsidR="00000000" w:rsidDel="00000000" w:rsidP="00000000" w:rsidRDefault="00000000" w:rsidRPr="00000000" w14:paraId="00000068">
      <w:pPr>
        <w:jc w:val="both"/>
        <w:rPr>
          <w:sz w:val="28"/>
          <w:szCs w:val="2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ГОЛОСУВАЛИ:</w:t>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sz w:val="28"/>
          <w:szCs w:val="28"/>
        </w:rPr>
      </w:pPr>
      <w:r w:rsidDel="00000000" w:rsidR="00000000" w:rsidRPr="00000000">
        <w:rPr>
          <w:sz w:val="28"/>
          <w:szCs w:val="28"/>
          <w:rtl w:val="0"/>
        </w:rPr>
        <w:t xml:space="preserve">«за» - 14, «проти» - 0, «утримались» - 0.</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Рішення прийнято.</w:t>
      </w:r>
    </w:p>
    <w:p w:rsidR="00000000" w:rsidDel="00000000" w:rsidP="00000000" w:rsidRDefault="00000000" w:rsidRPr="00000000" w14:paraId="0000006C">
      <w:pPr>
        <w:jc w:val="both"/>
        <w:rPr>
          <w:sz w:val="28"/>
          <w:szCs w:val="28"/>
        </w:rPr>
      </w:pPr>
      <w:r w:rsidDel="00000000" w:rsidR="00000000" w:rsidRPr="00000000">
        <w:rPr>
          <w:rtl w:val="0"/>
        </w:rPr>
      </w:r>
    </w:p>
    <w:p w:rsidR="00000000" w:rsidDel="00000000" w:rsidP="00000000" w:rsidRDefault="00000000" w:rsidRPr="00000000" w14:paraId="0000006D">
      <w:pPr>
        <w:jc w:val="both"/>
        <w:rPr>
          <w:sz w:val="28"/>
          <w:szCs w:val="28"/>
        </w:rPr>
      </w:pPr>
      <w:r w:rsidDel="00000000" w:rsidR="00000000" w:rsidRPr="00000000">
        <w:rPr>
          <w:rtl w:val="0"/>
        </w:rPr>
      </w:r>
    </w:p>
    <w:tbl>
      <w:tblPr>
        <w:tblStyle w:val="Table2"/>
        <w:tblW w:w="1014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41"/>
        <w:gridCol w:w="3205"/>
        <w:tblGridChange w:id="0">
          <w:tblGrid>
            <w:gridCol w:w="6941"/>
            <w:gridCol w:w="3205"/>
          </w:tblGrid>
        </w:tblGridChange>
      </w:tblGrid>
      <w:tr>
        <w:trPr>
          <w:cantSplit w:val="0"/>
          <w:tblHeader w:val="0"/>
        </w:trPr>
        <w:tc>
          <w:tcPr/>
          <w:p w:rsidR="00000000" w:rsidDel="00000000" w:rsidP="00000000" w:rsidRDefault="00000000" w:rsidRPr="00000000" w14:paraId="0000006E">
            <w:pPr>
              <w:jc w:val="both"/>
              <w:rPr>
                <w:sz w:val="28"/>
                <w:szCs w:val="28"/>
              </w:rPr>
            </w:pPr>
            <w:bookmarkStart w:colFirst="0" w:colLast="0" w:name="_heading=h.3znysh7" w:id="2"/>
            <w:bookmarkEnd w:id="2"/>
            <w:r w:rsidDel="00000000" w:rsidR="00000000" w:rsidRPr="00000000">
              <w:rPr>
                <w:b w:val="1"/>
                <w:sz w:val="28"/>
                <w:szCs w:val="28"/>
                <w:rtl w:val="0"/>
              </w:rPr>
              <w:t xml:space="preserve">Голова Ради  </w:t>
            </w:r>
            <w:r w:rsidDel="00000000" w:rsidR="00000000" w:rsidRPr="00000000">
              <w:rPr>
                <w:rtl w:val="0"/>
              </w:rPr>
            </w:r>
          </w:p>
        </w:tc>
        <w:tc>
          <w:tcPr/>
          <w:p w:rsidR="00000000" w:rsidDel="00000000" w:rsidP="00000000" w:rsidRDefault="00000000" w:rsidRPr="00000000" w14:paraId="0000006F">
            <w:pPr>
              <w:tabs>
                <w:tab w:val="left" w:leader="none" w:pos="567"/>
                <w:tab w:val="left" w:leader="none" w:pos="1440"/>
              </w:tabs>
              <w:jc w:val="both"/>
              <w:rPr>
                <w:b w:val="1"/>
                <w:sz w:val="28"/>
                <w:szCs w:val="28"/>
              </w:rPr>
            </w:pPr>
            <w:r w:rsidDel="00000000" w:rsidR="00000000" w:rsidRPr="00000000">
              <w:rPr>
                <w:b w:val="1"/>
                <w:sz w:val="28"/>
                <w:szCs w:val="28"/>
                <w:rtl w:val="0"/>
              </w:rPr>
              <w:t xml:space="preserve">Наталія ЄСІНА</w:t>
            </w:r>
          </w:p>
          <w:p w:rsidR="00000000" w:rsidDel="00000000" w:rsidP="00000000" w:rsidRDefault="00000000" w:rsidRPr="00000000" w14:paraId="00000070">
            <w:pP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sz w:val="28"/>
                <w:szCs w:val="28"/>
              </w:rPr>
            </w:pPr>
            <w:r w:rsidDel="00000000" w:rsidR="00000000" w:rsidRPr="00000000">
              <w:rPr>
                <w:b w:val="1"/>
                <w:sz w:val="28"/>
                <w:szCs w:val="28"/>
                <w:rtl w:val="0"/>
              </w:rPr>
              <w:t xml:space="preserve">Секретар Ради</w:t>
            </w:r>
            <w:r w:rsidDel="00000000" w:rsidR="00000000" w:rsidRPr="00000000">
              <w:rPr>
                <w:rtl w:val="0"/>
              </w:rPr>
            </w:r>
          </w:p>
        </w:tc>
        <w:tc>
          <w:tcPr/>
          <w:p w:rsidR="00000000" w:rsidDel="00000000" w:rsidP="00000000" w:rsidRDefault="00000000" w:rsidRPr="00000000" w14:paraId="00000072">
            <w:pPr>
              <w:jc w:val="both"/>
              <w:rPr>
                <w:sz w:val="28"/>
                <w:szCs w:val="28"/>
              </w:rPr>
            </w:pPr>
            <w:r w:rsidDel="00000000" w:rsidR="00000000" w:rsidRPr="00000000">
              <w:rPr>
                <w:b w:val="1"/>
                <w:sz w:val="28"/>
                <w:szCs w:val="28"/>
                <w:rtl w:val="0"/>
              </w:rPr>
              <w:t xml:space="preserve">Юлія КІВЕРІНА</w:t>
            </w:r>
            <w:r w:rsidDel="00000000" w:rsidR="00000000" w:rsidRPr="00000000">
              <w:rPr>
                <w:rtl w:val="0"/>
              </w:rPr>
            </w:r>
          </w:p>
        </w:tc>
      </w:tr>
    </w:tbl>
    <w:p w:rsidR="00000000" w:rsidDel="00000000" w:rsidP="00000000" w:rsidRDefault="00000000" w:rsidRPr="00000000" w14:paraId="00000073">
      <w:pPr>
        <w:ind w:firstLine="709"/>
        <w:jc w:val="both"/>
        <w:rPr>
          <w:sz w:val="28"/>
          <w:szCs w:val="28"/>
        </w:rPr>
      </w:pPr>
      <w:r w:rsidDel="00000000" w:rsidR="00000000" w:rsidRPr="00000000">
        <w:rPr>
          <w:rtl w:val="0"/>
        </w:rPr>
      </w:r>
    </w:p>
    <w:sectPr>
      <w:pgSz w:h="16838" w:w="11906" w:orient="portrait"/>
      <w:pgMar w:bottom="993" w:top="851"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3332"/>
      </w:tabs>
    </w:pPr>
    <w:rPr>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tabs>
        <w:tab w:val="left" w:pos="3332"/>
      </w:tabs>
      <w:outlineLvl w:val="1"/>
    </w:pPr>
    <w:rPr>
      <w:b w:val="1"/>
      <w:sz w:val="32"/>
      <w:szCs w:val="32"/>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jc w:val="center"/>
    </w:pPr>
    <w:rPr>
      <w:b w:val="1"/>
      <w:sz w:val="28"/>
      <w:szCs w:val="28"/>
    </w:rPr>
  </w:style>
  <w:style w:type="paragraph" w:styleId="a4">
    <w:name w:val="Subtitle"/>
    <w:basedOn w:val="a"/>
    <w:next w:val="a"/>
    <w:uiPriority w:val="11"/>
    <w:qFormat w:val="1"/>
    <w:pPr>
      <w:jc w:val="center"/>
    </w:pPr>
    <w:rPr>
      <w:b w:val="1"/>
      <w:sz w:val="36"/>
      <w:szCs w:val="36"/>
    </w:r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paragraph" w:styleId="a7">
    <w:name w:val="List Paragraph"/>
    <w:basedOn w:val="a"/>
    <w:uiPriority w:val="34"/>
    <w:qFormat w:val="1"/>
    <w:rsid w:val="00555449"/>
    <w:pPr>
      <w:ind w:left="720"/>
      <w:contextualSpacing w:val="1"/>
    </w:pPr>
  </w:style>
  <w:style w:type="paragraph" w:styleId="Subtitle">
    <w:name w:val="Subtitle"/>
    <w:basedOn w:val="Normal"/>
    <w:next w:val="Normal"/>
    <w:pPr>
      <w:jc w:val="center"/>
    </w:pPr>
    <w:rPr>
      <w:b w:val="1"/>
      <w:sz w:val="36"/>
      <w:szCs w:val="3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b2L3uMHjhqfD/1O1nRajB7SsA==">CgMxLjAyCGguZ2pkZ3hzMgloLjMwajB6bGwyCWguM3pueXNoNzgAciExb1MwVUIzYmxzSlBiVmpwTFBXODNJbDhaWUpidHNWaXI=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2024-06-10T12:39:00Z</dcterms:created>
  <dc:creator>Тетяна Юріївна Лаврик</dc:creator>
</cp:coreProperties>
</file>