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21" w:rsidRPr="00E70F8B" w:rsidRDefault="00FE1615" w:rsidP="00D2287D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F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-501015</wp:posOffset>
            </wp:positionV>
            <wp:extent cx="2619375" cy="14733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Image_1716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7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721" w:rsidRPr="00E70F8B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1847A2" w:rsidRPr="00E70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721" w:rsidRPr="00E70F8B">
        <w:rPr>
          <w:rFonts w:ascii="Times New Roman" w:hAnsi="Times New Roman" w:cs="Times New Roman"/>
          <w:b/>
          <w:sz w:val="28"/>
          <w:szCs w:val="28"/>
          <w:lang w:val="uk-UA"/>
        </w:rPr>
        <w:t>депутата Сумської міської ради</w:t>
      </w:r>
    </w:p>
    <w:p w:rsidR="00872721" w:rsidRPr="00E70F8B" w:rsidRDefault="00BF6187" w:rsidP="00D2287D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F8B">
        <w:rPr>
          <w:rFonts w:ascii="Times New Roman" w:hAnsi="Times New Roman" w:cs="Times New Roman"/>
          <w:b/>
          <w:sz w:val="28"/>
          <w:szCs w:val="28"/>
          <w:lang w:val="uk-UA"/>
        </w:rPr>
        <w:t>фракції</w:t>
      </w:r>
      <w:r w:rsidR="00872721" w:rsidRPr="00E70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«Європейська солідарність»</w:t>
      </w:r>
    </w:p>
    <w:p w:rsidR="001847A2" w:rsidRPr="00E70F8B" w:rsidRDefault="001847A2" w:rsidP="00D228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72721" w:rsidRPr="00D2287D" w:rsidRDefault="00D2287D" w:rsidP="00D228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ЧЕПІКА ВОЛОДИМИРА ІГОРЕВИЧА</w:t>
      </w:r>
    </w:p>
    <w:p w:rsidR="001847A2" w:rsidRPr="00E70F8B" w:rsidRDefault="001847A2" w:rsidP="00D228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"/>
          <w:szCs w:val="28"/>
          <w:lang w:val="uk-UA"/>
        </w:rPr>
      </w:pPr>
    </w:p>
    <w:p w:rsidR="00872721" w:rsidRDefault="001847A2" w:rsidP="00D228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F8B">
        <w:rPr>
          <w:rFonts w:ascii="Times New Roman" w:hAnsi="Times New Roman" w:cs="Times New Roman"/>
          <w:sz w:val="28"/>
          <w:szCs w:val="28"/>
          <w:lang w:val="uk-UA"/>
        </w:rPr>
        <w:t xml:space="preserve">по територіальному виборчому округу № </w:t>
      </w:r>
      <w:r w:rsidR="00D2287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70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721" w:rsidRPr="00E70F8B"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="004821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72721" w:rsidRPr="00E70F8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761794" w:rsidRPr="00E70F8B" w:rsidRDefault="00761794" w:rsidP="00D228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(військовослужбовець ЗСУ)</w:t>
      </w:r>
    </w:p>
    <w:p w:rsidR="001847A2" w:rsidRPr="00E70F8B" w:rsidRDefault="001847A2" w:rsidP="00D228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721" w:rsidRPr="00E70F8B" w:rsidRDefault="00872721" w:rsidP="00196B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0F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Сесійна робота</w:t>
      </w:r>
    </w:p>
    <w:p w:rsidR="006F1A3A" w:rsidRPr="00E70F8B" w:rsidRDefault="00761794" w:rsidP="00196B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872721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086892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72721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</w:t>
      </w:r>
      <w:r w:rsidR="00857DE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прийняв участь у 3 засіданнях міської ради.</w:t>
      </w:r>
    </w:p>
    <w:p w:rsidR="0019652C" w:rsidRPr="00E70F8B" w:rsidRDefault="00857DE3" w:rsidP="0019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845F39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роєкт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End"/>
      <w:r w:rsidR="00845F39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рішень, що розглядалися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засідань були направлені на вирішення</w:t>
      </w:r>
      <w:r w:rsidR="00845F39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5948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підтримки підрозділів ЗСУ, ДФТГ та інших формувань Сил оборони, </w:t>
      </w:r>
      <w:r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лікувальних закладів міста, діяльності навчальних закладів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652C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ремонту та утримання системи водопостачання та </w:t>
      </w:r>
      <w:r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652C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ремонту вуличного освітлення, підтримки Захисників і Захисниць України та членів їх сімей, облаштування укриттів та інше.</w:t>
      </w:r>
    </w:p>
    <w:p w:rsidR="00A80B8B" w:rsidRPr="00E70F8B" w:rsidRDefault="00A80B8B" w:rsidP="00196B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2721" w:rsidRPr="00E70F8B" w:rsidRDefault="00872721" w:rsidP="00196B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0F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Робота в постійній депутатській комісії</w:t>
      </w:r>
    </w:p>
    <w:p w:rsidR="00C27979" w:rsidRDefault="00422EB3" w:rsidP="0019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є</w:t>
      </w:r>
      <w:r w:rsidR="00872721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членом </w:t>
      </w:r>
      <w:r w:rsid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постійної</w:t>
      </w:r>
      <w:r w:rsidR="004D0E3C"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комісія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27979"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Сумської міської ради VIІI скликання. </w:t>
      </w:r>
    </w:p>
    <w:p w:rsidR="004D0E3C" w:rsidRDefault="004D0E3C" w:rsidP="0019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2023 рік постійною комісією проведено 21 засідання. За звітний період на засіданнях комісією було опрацьовано 137 питань.</w:t>
      </w:r>
    </w:p>
    <w:p w:rsidR="004D0E3C" w:rsidRPr="004D0E3C" w:rsidRDefault="004821A2" w:rsidP="004D0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4D0E3C"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остійна комісія попередньо розглянула 29 </w:t>
      </w:r>
      <w:proofErr w:type="spellStart"/>
      <w:r w:rsidR="004D0E3C"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4D0E3C"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 Сумської міської ради, які пропонувалися до розгляду на сесіях протягом 2023 року (в межах напрямків діяльності комісії) та ініціювала на розгляд Сумської міської ради 5 </w:t>
      </w:r>
      <w:proofErr w:type="spellStart"/>
      <w:r w:rsidR="004D0E3C"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4D0E3C"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рішень, а саме:</w:t>
      </w:r>
    </w:p>
    <w:p w:rsidR="004D0E3C" w:rsidRPr="004D0E3C" w:rsidRDefault="004D0E3C" w:rsidP="004D0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хід виконання цільової Програми підтримки малого і середнього підприємництва Сумської міської територіальної громади на 2022-2024 роки, затвердженої рішенням Сумської міської ради від 29 вересня 2021 року № 1601-МР, за 2022 рік;</w:t>
      </w:r>
    </w:p>
    <w:p w:rsidR="004D0E3C" w:rsidRPr="004D0E3C" w:rsidRDefault="004D0E3C" w:rsidP="004D0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Порядку використання коштів бюджету Сумської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стартапів</w:t>
      </w:r>
      <w:proofErr w:type="spellEnd"/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Сумській міській територіальній громаді;</w:t>
      </w:r>
    </w:p>
    <w:p w:rsidR="004D0E3C" w:rsidRPr="004D0E3C" w:rsidRDefault="004D0E3C" w:rsidP="004D0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Сумської міської ради від 24  червня 2020 року № 7000–МР «Про встановлення плати за землю» (зі змінами)»;</w:t>
      </w:r>
    </w:p>
    <w:p w:rsidR="004D0E3C" w:rsidRPr="004D0E3C" w:rsidRDefault="004D0E3C" w:rsidP="004D0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плану-графіку відстеження результативності діючих регуляторних актів Сумської міської ради на 2024 рік;</w:t>
      </w:r>
    </w:p>
    <w:p w:rsidR="004D0E3C" w:rsidRPr="004D0E3C" w:rsidRDefault="004D0E3C" w:rsidP="004D0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план діяльності з підготовки </w:t>
      </w:r>
      <w:proofErr w:type="spellStart"/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регуляторних актів Сумської міської ради на 2024 рік.</w:t>
      </w:r>
    </w:p>
    <w:p w:rsidR="004D0E3C" w:rsidRPr="004D0E3C" w:rsidRDefault="004D0E3C" w:rsidP="004D0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більшості засіданнях заслуховувались звернення керівників структурних підрозділів та депутатів з пропозиціями щодо розподілу бюджетних коштів. Актуальним в процесі роботи постійної комісії </w:t>
      </w:r>
      <w:r w:rsidRPr="004D0E3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залишається питання удосконалення процесу формування доходів бюджету Сумської міської територіальної громади. </w:t>
      </w:r>
    </w:p>
    <w:p w:rsidR="00E70F8B" w:rsidRPr="00E70F8B" w:rsidRDefault="00E70F8B" w:rsidP="0019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0F8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постійної комісії є відкритою: на її засіданнях були присутні представники громадськості міста, всі протоколи засідань оприлюднюються на офіційному сайті міської ради.</w:t>
      </w:r>
    </w:p>
    <w:p w:rsidR="00564095" w:rsidRPr="00E70F8B" w:rsidRDefault="00564095" w:rsidP="00196B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431C" w:rsidRPr="0004431C" w:rsidRDefault="0004431C" w:rsidP="000443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431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щодо бюджету Сумської територіального громади</w:t>
      </w:r>
    </w:p>
    <w:p w:rsidR="0004431C" w:rsidRPr="0004431C" w:rsidRDefault="0004431C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2023 рік бюджет Сумської міської територіальної громади                           (далі по тексту – бюджет СМТГ) </w:t>
      </w:r>
      <w:r w:rsidRPr="0004431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 доходами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виконано у сумі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Pr="0004431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3,335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млрд</w:t>
      </w:r>
      <w:proofErr w:type="spellEnd"/>
      <w:r w:rsidRPr="0004431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04431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грн</w:t>
      </w:r>
      <w:proofErr w:type="spellEnd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становить 85,3 % до річного плану та                                       на 86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(або на 2,6 %) більше надходжень за 2022 рік, в т. ч.:</w:t>
      </w:r>
    </w:p>
    <w:p w:rsidR="0004431C" w:rsidRPr="0004431C" w:rsidRDefault="0004431C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Надходження </w:t>
      </w:r>
      <w:r w:rsidRPr="00195E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 загального фонду склали 3,1 </w:t>
      </w:r>
      <w:proofErr w:type="spellStart"/>
      <w:r w:rsidRPr="00195E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млрд</w:t>
      </w:r>
      <w:proofErr w:type="spellEnd"/>
      <w:r w:rsidR="005C0B10" w:rsidRPr="00195E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5C0B10" w:rsidRPr="00195E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грн</w:t>
      </w:r>
      <w:proofErr w:type="spellEnd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(95,9 %) та </w:t>
      </w:r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48</w:t>
      </w:r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,4 </w:t>
      </w:r>
      <w:proofErr w:type="spellStart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(або на 1,6 %) більше надходж</w:t>
      </w:r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2022 рік, з них:</w:t>
      </w:r>
    </w:p>
    <w:p w:rsidR="0004431C" w:rsidRPr="0004431C" w:rsidRDefault="0004431C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Власні доходи (податкові, неподаткові надходження та доходи                   </w:t>
      </w:r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 операцій з капіталом) – 2,6 </w:t>
      </w:r>
      <w:proofErr w:type="spellStart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млрд</w:t>
      </w:r>
      <w:proofErr w:type="spellEnd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(95,2 % до річного плану)                 та на 23 </w:t>
      </w:r>
      <w:proofErr w:type="spellStart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(або на 0,9 %) більше надходжень за 2022 рік.</w:t>
      </w:r>
    </w:p>
    <w:p w:rsidR="0004431C" w:rsidRPr="0004431C" w:rsidRDefault="0004431C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Офіційні трансферти – 550</w:t>
      </w:r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,6 </w:t>
      </w:r>
      <w:proofErr w:type="spellStart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(99,3 % до річного плану) та на 25</w:t>
      </w:r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,4 </w:t>
      </w:r>
      <w:proofErr w:type="spellStart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(або на 4,8 %) більше надходжень за 2022 року (за рахунок надходження субвенції з державного бюджету на облаштування безпечних умов у закладах загальної середньої освіти </w:t>
      </w:r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27,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млн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гривень).</w:t>
      </w:r>
    </w:p>
    <w:p w:rsidR="0004431C" w:rsidRPr="0004431C" w:rsidRDefault="0004431C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Надходження </w:t>
      </w:r>
      <w:r w:rsidRPr="00195E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="005C0B10" w:rsidRPr="00195E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 спеціального фонду склали 161,9 </w:t>
      </w:r>
      <w:proofErr w:type="spellStart"/>
      <w:r w:rsidR="005C0B10" w:rsidRPr="00195E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млн</w:t>
      </w:r>
      <w:proofErr w:type="spellEnd"/>
      <w:r w:rsidR="005C0B10" w:rsidRPr="00195E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5C0B10" w:rsidRPr="00195E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грн</w:t>
      </w:r>
      <w:proofErr w:type="spellEnd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(26,9 % до річного плану) та на 37</w:t>
      </w:r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,5 </w:t>
      </w:r>
      <w:proofErr w:type="spellStart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="005C0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(або на 30,2 %) більше надходжень за 2022 рік, з них:</w:t>
      </w:r>
    </w:p>
    <w:p w:rsidR="0004431C" w:rsidRPr="0004431C" w:rsidRDefault="005C0B10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Власні доходи (податкові, неподаткові надходження, доходи від операцій з капіталом та цільові фонди) – 130</w:t>
      </w:r>
      <w:r w:rsidR="00195E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,4 </w:t>
      </w:r>
      <w:proofErr w:type="spellStart"/>
      <w:r w:rsidR="00195E9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(120,6 % </w:t>
      </w:r>
      <w:r w:rsidR="00195E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річного плану) та на 6 </w:t>
      </w:r>
      <w:proofErr w:type="spellStart"/>
      <w:r w:rsidR="00195E9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(або на 4,9 %) більше надходжень за 2022 рік (за рахунок збільшення надходжень по власних надходженнях бюджетних установ «+» 8</w:t>
      </w:r>
      <w:r w:rsidR="00195E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,6 </w:t>
      </w:r>
      <w:proofErr w:type="spellStart"/>
      <w:r w:rsidR="00195E9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гривень).</w:t>
      </w:r>
    </w:p>
    <w:p w:rsidR="0004431C" w:rsidRDefault="00195E9C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Офіційні трансферти – 31,4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="0004431C" w:rsidRPr="0004431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або 6,4 % до річного плану (у зв’язку із обмеженим терміном виконання робіт по об’єктах).</w:t>
      </w:r>
    </w:p>
    <w:p w:rsidR="004821A2" w:rsidRDefault="004821A2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E9C" w:rsidRDefault="007F7134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Перелік </w:t>
      </w:r>
      <w:r w:rsid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інфраструктурних об’єктів, установ та організацій розмішених на території</w:t>
      </w:r>
      <w:r w:rsidR="00120B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0B54" w:rsidRPr="00120B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виборчому округу № 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0B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20B54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місцевим бюджетом у 2023 році</w:t>
      </w:r>
      <w:r w:rsidR="00120B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передбачено виконання будівельних робіт, реконструкцію, проектування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F7134" w:rsidRDefault="007F7134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F71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Нове будівництво резервуару аварійного скиду стічної води з обладнанням для виділення твердих відходів на території каналізаційно-насосної станції за адресою: </w:t>
      </w:r>
      <w:proofErr w:type="spellStart"/>
      <w:r w:rsidRPr="007F7134">
        <w:rPr>
          <w:rFonts w:ascii="Times New Roman" w:hAnsi="Times New Roman" w:cs="Times New Roman"/>
          <w:color w:val="000000"/>
          <w:sz w:val="28"/>
          <w:szCs w:val="28"/>
          <w:lang w:val="uk-UA"/>
        </w:rPr>
        <w:t>м.Суми</w:t>
      </w:r>
      <w:proofErr w:type="spellEnd"/>
      <w:r w:rsidRPr="007F713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Привокзальна, 4/13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F7134" w:rsidRDefault="007F7134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F713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Реконструкція стал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евих ділянок водоводу </w:t>
      </w:r>
      <w:r w:rsidRPr="007F71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Д-500 мм від </w:t>
      </w:r>
      <w:proofErr w:type="spellStart"/>
      <w:r w:rsidRPr="007F7134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Лучанського</w:t>
      </w:r>
      <w:proofErr w:type="spellEnd"/>
      <w:r w:rsidRPr="007F71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водозабору до перехрестя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Чехова та </w:t>
      </w:r>
      <w:r w:rsidRPr="007F713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2-га Залізнична в м. Суми. Коригування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95E9C" w:rsidRDefault="007F7134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F713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Нове будівництво захисн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 споруд</w:t>
      </w:r>
      <w:r w:rsidRPr="007F71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Сумської ТЕЦ.</w:t>
      </w:r>
    </w:p>
    <w:p w:rsidR="00986124" w:rsidRDefault="00986124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Нове будівництво водопровідної мережі до КУ Сумська ЗОШ №8 СМР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86124" w:rsidRDefault="00986124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Реконструкція неврологічного відділення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захисних споруд цивільного захисту неврологічного корпусу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  «СМКЛ № 4»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86124" w:rsidRDefault="00986124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Реконструкція стадіону «Авангард»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86124" w:rsidRDefault="00986124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Реставраційний ремонт підвального приміщення  з облаштуванням укриття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Сумська класична гімназія Сумської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86124" w:rsidRDefault="00986124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Реставраційний ремонт протирадіаційного укриття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</w:t>
      </w:r>
      <w:r w:rsidRP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Сумська загальн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оосвітня  школа І-ІІІ ступенів </w:t>
      </w:r>
      <w:r w:rsidRPr="00986124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8 Сумської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A3F8C" w:rsidRDefault="002A3F8C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3F8C" w:rsidRPr="002A3F8C" w:rsidRDefault="002A3F8C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A3F8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Робота з виборцями</w:t>
      </w:r>
    </w:p>
    <w:p w:rsidR="002A3F8C" w:rsidRPr="002A3F8C" w:rsidRDefault="002A3F8C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3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2023 рік мною було опрацьовано </w:t>
      </w:r>
      <w:r w:rsidRPr="002A3F8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21</w:t>
      </w:r>
      <w:r w:rsidRPr="002A3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звернення виборців. Враховуючі особисту участь у заходах щодо відсічі та стримуванні збройної агресії </w:t>
      </w:r>
      <w:proofErr w:type="spellStart"/>
      <w:r w:rsidRPr="002A3F8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росії</w:t>
      </w:r>
      <w:proofErr w:type="spellEnd"/>
      <w:r w:rsidRPr="002A3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зазвичай звернення та спілкування з виборцями відбувається за допомогою засобів телекомунікаційного зв’язку. Контактний номер розміщено на офіційному сайті міської ради. </w:t>
      </w:r>
    </w:p>
    <w:p w:rsidR="002A3F8C" w:rsidRDefault="002A3F8C" w:rsidP="002A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04431C" w:rsidRDefault="0004431C" w:rsidP="00044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BFA" w:rsidRPr="00E70F8B" w:rsidRDefault="00913BFA" w:rsidP="00196BD2">
      <w:pPr>
        <w:pStyle w:val="3"/>
        <w:spacing w:after="0"/>
        <w:ind w:left="0"/>
        <w:rPr>
          <w:rFonts w:eastAsiaTheme="minorHAnsi"/>
          <w:b/>
          <w:sz w:val="28"/>
          <w:szCs w:val="28"/>
          <w:lang w:eastAsia="en-US"/>
        </w:rPr>
      </w:pPr>
    </w:p>
    <w:p w:rsidR="00913BFA" w:rsidRPr="00E70F8B" w:rsidRDefault="00913BFA" w:rsidP="00196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70F8B">
        <w:rPr>
          <w:rFonts w:ascii="Times New Roman" w:hAnsi="Times New Roman" w:cs="Times New Roman"/>
          <w:b/>
          <w:sz w:val="28"/>
          <w:lang w:val="uk-UA"/>
        </w:rPr>
        <w:t>Депутат Сумської міської ради</w:t>
      </w:r>
      <w:r w:rsidR="00120B54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Володимир Чепік</w:t>
      </w:r>
    </w:p>
    <w:p w:rsidR="00913BFA" w:rsidRPr="00E70F8B" w:rsidRDefault="00913BFA" w:rsidP="00196BD2">
      <w:pPr>
        <w:spacing w:after="0" w:line="240" w:lineRule="auto"/>
        <w:jc w:val="both"/>
        <w:rPr>
          <w:lang w:val="uk-UA"/>
        </w:rPr>
      </w:pPr>
    </w:p>
    <w:p w:rsidR="00913BFA" w:rsidRPr="00E70F8B" w:rsidRDefault="00913BFA" w:rsidP="00196BD2">
      <w:pPr>
        <w:pStyle w:val="3"/>
        <w:spacing w:after="0"/>
        <w:ind w:left="0"/>
        <w:rPr>
          <w:rFonts w:eastAsiaTheme="minorHAnsi"/>
          <w:b/>
          <w:sz w:val="28"/>
          <w:szCs w:val="28"/>
          <w:lang w:eastAsia="en-US"/>
        </w:rPr>
      </w:pPr>
    </w:p>
    <w:sectPr w:rsidR="00913BFA" w:rsidRPr="00E7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D19"/>
    <w:multiLevelType w:val="hybridMultilevel"/>
    <w:tmpl w:val="92AE8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B96226"/>
    <w:multiLevelType w:val="hybridMultilevel"/>
    <w:tmpl w:val="99248D74"/>
    <w:lvl w:ilvl="0" w:tplc="92D0B426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C6F7A94"/>
    <w:multiLevelType w:val="hybridMultilevel"/>
    <w:tmpl w:val="5B8A402A"/>
    <w:lvl w:ilvl="0" w:tplc="39A2487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7105A33"/>
    <w:multiLevelType w:val="hybridMultilevel"/>
    <w:tmpl w:val="57827984"/>
    <w:lvl w:ilvl="0" w:tplc="2F6E0B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9264F04"/>
    <w:multiLevelType w:val="hybridMultilevel"/>
    <w:tmpl w:val="FE6E4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46D1"/>
    <w:multiLevelType w:val="hybridMultilevel"/>
    <w:tmpl w:val="EFBE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F70F8"/>
    <w:multiLevelType w:val="hybridMultilevel"/>
    <w:tmpl w:val="4C2203A2"/>
    <w:lvl w:ilvl="0" w:tplc="4D8C75B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4540EB"/>
    <w:multiLevelType w:val="hybridMultilevel"/>
    <w:tmpl w:val="7376D304"/>
    <w:lvl w:ilvl="0" w:tplc="177A1F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3"/>
    <w:rsid w:val="00030C67"/>
    <w:rsid w:val="0004431C"/>
    <w:rsid w:val="00050CF6"/>
    <w:rsid w:val="00086892"/>
    <w:rsid w:val="00091A3E"/>
    <w:rsid w:val="00097F0D"/>
    <w:rsid w:val="000D2CA2"/>
    <w:rsid w:val="000E7CE3"/>
    <w:rsid w:val="000F55A1"/>
    <w:rsid w:val="00120B54"/>
    <w:rsid w:val="00120EF8"/>
    <w:rsid w:val="001366AB"/>
    <w:rsid w:val="001847A2"/>
    <w:rsid w:val="00195E9C"/>
    <w:rsid w:val="0019652C"/>
    <w:rsid w:val="00196BD2"/>
    <w:rsid w:val="001B5B08"/>
    <w:rsid w:val="001C4FB3"/>
    <w:rsid w:val="001C514C"/>
    <w:rsid w:val="001D1964"/>
    <w:rsid w:val="001E0BE0"/>
    <w:rsid w:val="0024775D"/>
    <w:rsid w:val="002A3F8C"/>
    <w:rsid w:val="002C6DE7"/>
    <w:rsid w:val="002D5948"/>
    <w:rsid w:val="002E318B"/>
    <w:rsid w:val="003054D6"/>
    <w:rsid w:val="00323229"/>
    <w:rsid w:val="0034390F"/>
    <w:rsid w:val="00361D6F"/>
    <w:rsid w:val="00373685"/>
    <w:rsid w:val="00374AF4"/>
    <w:rsid w:val="003B4162"/>
    <w:rsid w:val="003C1157"/>
    <w:rsid w:val="00422EB3"/>
    <w:rsid w:val="00463D31"/>
    <w:rsid w:val="00476779"/>
    <w:rsid w:val="004821A2"/>
    <w:rsid w:val="00482CAF"/>
    <w:rsid w:val="00483203"/>
    <w:rsid w:val="004D0417"/>
    <w:rsid w:val="004D0E3C"/>
    <w:rsid w:val="004D3CDE"/>
    <w:rsid w:val="004D4F2E"/>
    <w:rsid w:val="004F2D76"/>
    <w:rsid w:val="00514A07"/>
    <w:rsid w:val="00560958"/>
    <w:rsid w:val="00564095"/>
    <w:rsid w:val="00590F37"/>
    <w:rsid w:val="005A711A"/>
    <w:rsid w:val="005B5A51"/>
    <w:rsid w:val="005C0B10"/>
    <w:rsid w:val="006007CB"/>
    <w:rsid w:val="00691AA5"/>
    <w:rsid w:val="00692506"/>
    <w:rsid w:val="006C2CC2"/>
    <w:rsid w:val="006F1A3A"/>
    <w:rsid w:val="007419A3"/>
    <w:rsid w:val="00761794"/>
    <w:rsid w:val="0077379B"/>
    <w:rsid w:val="007A78DE"/>
    <w:rsid w:val="007E2B94"/>
    <w:rsid w:val="007F7134"/>
    <w:rsid w:val="008008F3"/>
    <w:rsid w:val="00845F39"/>
    <w:rsid w:val="00847AD9"/>
    <w:rsid w:val="00857DE3"/>
    <w:rsid w:val="00872721"/>
    <w:rsid w:val="008E4276"/>
    <w:rsid w:val="008F2D0B"/>
    <w:rsid w:val="00913BFA"/>
    <w:rsid w:val="0092222A"/>
    <w:rsid w:val="00951725"/>
    <w:rsid w:val="00962A10"/>
    <w:rsid w:val="00972DEB"/>
    <w:rsid w:val="00974FC5"/>
    <w:rsid w:val="00986124"/>
    <w:rsid w:val="009B2872"/>
    <w:rsid w:val="009C49A5"/>
    <w:rsid w:val="00A00558"/>
    <w:rsid w:val="00A33C77"/>
    <w:rsid w:val="00A40B75"/>
    <w:rsid w:val="00A80B8B"/>
    <w:rsid w:val="00AD43F4"/>
    <w:rsid w:val="00AD5473"/>
    <w:rsid w:val="00AE1B26"/>
    <w:rsid w:val="00AF471F"/>
    <w:rsid w:val="00B077EA"/>
    <w:rsid w:val="00B663E2"/>
    <w:rsid w:val="00BD73B3"/>
    <w:rsid w:val="00BF4C8C"/>
    <w:rsid w:val="00BF6187"/>
    <w:rsid w:val="00C27979"/>
    <w:rsid w:val="00C8139D"/>
    <w:rsid w:val="00CA399F"/>
    <w:rsid w:val="00CB0615"/>
    <w:rsid w:val="00CE62BD"/>
    <w:rsid w:val="00D2287D"/>
    <w:rsid w:val="00D256D3"/>
    <w:rsid w:val="00D33DCF"/>
    <w:rsid w:val="00D453AC"/>
    <w:rsid w:val="00D57299"/>
    <w:rsid w:val="00DD15A0"/>
    <w:rsid w:val="00DD15AE"/>
    <w:rsid w:val="00DD23D0"/>
    <w:rsid w:val="00DE06C0"/>
    <w:rsid w:val="00DE70E4"/>
    <w:rsid w:val="00E13027"/>
    <w:rsid w:val="00E70F8B"/>
    <w:rsid w:val="00E74083"/>
    <w:rsid w:val="00E9395C"/>
    <w:rsid w:val="00E967C9"/>
    <w:rsid w:val="00F16E3C"/>
    <w:rsid w:val="00F57F7A"/>
    <w:rsid w:val="00F807FD"/>
    <w:rsid w:val="00F9513E"/>
    <w:rsid w:val="00FB04B0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6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07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B077EA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table" w:styleId="a4">
    <w:name w:val="Table Grid"/>
    <w:basedOn w:val="a1"/>
    <w:uiPriority w:val="59"/>
    <w:rsid w:val="00B0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D73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6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07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B077EA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table" w:styleId="a4">
    <w:name w:val="Table Grid"/>
    <w:basedOn w:val="a1"/>
    <w:uiPriority w:val="59"/>
    <w:rsid w:val="00B0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D7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2A0F-462F-4FE1-8FF4-02E4B7C9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6</cp:revision>
  <cp:lastPrinted>2024-02-06T09:26:00Z</cp:lastPrinted>
  <dcterms:created xsi:type="dcterms:W3CDTF">2024-02-08T08:20:00Z</dcterms:created>
  <dcterms:modified xsi:type="dcterms:W3CDTF">2024-02-09T05:00:00Z</dcterms:modified>
</cp:coreProperties>
</file>