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91" w:rsidRDefault="00655A91" w:rsidP="00655A91">
      <w:pPr>
        <w:jc w:val="center"/>
        <w:rPr>
          <w:b/>
          <w:sz w:val="28"/>
          <w:lang w:val="ru-RU"/>
        </w:rPr>
      </w:pPr>
      <w:r>
        <w:rPr>
          <w:b/>
          <w:noProof/>
          <w:sz w:val="28"/>
          <w:lang w:val="ru-RU"/>
        </w:rPr>
        <w:drawing>
          <wp:inline distT="0" distB="0" distL="0" distR="0">
            <wp:extent cx="5143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 cy="771525"/>
                    </a:xfrm>
                    <a:prstGeom prst="rect">
                      <a:avLst/>
                    </a:prstGeom>
                    <a:noFill/>
                    <a:ln w="9525">
                      <a:noFill/>
                      <a:miter lim="800000"/>
                      <a:headEnd/>
                      <a:tailEnd/>
                    </a:ln>
                  </pic:spPr>
                </pic:pic>
              </a:graphicData>
            </a:graphic>
          </wp:inline>
        </w:drawing>
      </w:r>
    </w:p>
    <w:p w:rsidR="00655A91" w:rsidRDefault="00655A91" w:rsidP="00655A91">
      <w:pPr>
        <w:jc w:val="center"/>
        <w:rPr>
          <w:b/>
          <w:sz w:val="28"/>
        </w:rPr>
      </w:pPr>
      <w:r>
        <w:rPr>
          <w:b/>
          <w:sz w:val="28"/>
        </w:rPr>
        <w:t>СУМСЬКА МІСЬКА РАДА</w:t>
      </w:r>
    </w:p>
    <w:p w:rsidR="00655A91" w:rsidRDefault="00655A91" w:rsidP="00655A91">
      <w:pPr>
        <w:jc w:val="center"/>
        <w:rPr>
          <w:b/>
          <w:sz w:val="32"/>
          <w:szCs w:val="32"/>
        </w:rPr>
      </w:pPr>
      <w:r>
        <w:rPr>
          <w:b/>
          <w:sz w:val="32"/>
          <w:szCs w:val="32"/>
        </w:rPr>
        <w:t>УПРАВЛІННЯ «ІНСПЕКЦІЯ З БЛАГОУСТРОЮ МІСТА СУМИ»</w:t>
      </w:r>
    </w:p>
    <w:p w:rsidR="00655A91" w:rsidRDefault="00655A91" w:rsidP="00655A91">
      <w:pPr>
        <w:jc w:val="center"/>
        <w:rPr>
          <w:b/>
          <w:sz w:val="32"/>
          <w:szCs w:val="32"/>
        </w:rPr>
      </w:pPr>
    </w:p>
    <w:p w:rsidR="00655A91" w:rsidRDefault="00655A91" w:rsidP="00655A91">
      <w:pPr>
        <w:jc w:val="center"/>
        <w:rPr>
          <w:b/>
          <w:bCs/>
          <w:spacing w:val="20"/>
          <w:sz w:val="32"/>
          <w:szCs w:val="32"/>
        </w:rPr>
      </w:pPr>
      <w:r>
        <w:rPr>
          <w:b/>
          <w:bCs/>
          <w:spacing w:val="20"/>
          <w:sz w:val="32"/>
          <w:szCs w:val="32"/>
        </w:rPr>
        <w:t>НАКАЗ</w:t>
      </w:r>
    </w:p>
    <w:p w:rsidR="00655A91" w:rsidRDefault="00655A91" w:rsidP="00655A91">
      <w:pPr>
        <w:jc w:val="both"/>
        <w:rPr>
          <w:b/>
          <w:bCs/>
          <w:sz w:val="28"/>
        </w:rPr>
      </w:pPr>
    </w:p>
    <w:p w:rsidR="00655A91" w:rsidRDefault="002757AC" w:rsidP="00655A91">
      <w:pPr>
        <w:jc w:val="both"/>
        <w:rPr>
          <w:sz w:val="28"/>
        </w:rPr>
      </w:pPr>
      <w:r>
        <w:rPr>
          <w:sz w:val="28"/>
        </w:rPr>
        <w:t>від  29</w:t>
      </w:r>
      <w:r w:rsidR="00655A91">
        <w:rPr>
          <w:sz w:val="28"/>
        </w:rPr>
        <w:t xml:space="preserve"> серпня 2018 р.                    м. Суми             </w:t>
      </w:r>
      <w:r>
        <w:rPr>
          <w:sz w:val="28"/>
        </w:rPr>
        <w:t xml:space="preserve">                         №  43-к</w:t>
      </w:r>
      <w:bookmarkStart w:id="0" w:name="_GoBack"/>
      <w:bookmarkEnd w:id="0"/>
    </w:p>
    <w:p w:rsidR="00655A91" w:rsidRDefault="00655A91" w:rsidP="00655A91">
      <w:pPr>
        <w:rPr>
          <w:b/>
          <w:bCs/>
          <w:sz w:val="28"/>
          <w:szCs w:val="28"/>
        </w:rPr>
      </w:pPr>
    </w:p>
    <w:p w:rsidR="00655A91" w:rsidRDefault="00655A91" w:rsidP="00655A91">
      <w:pPr>
        <w:ind w:right="5672"/>
        <w:jc w:val="both"/>
        <w:rPr>
          <w:b/>
          <w:bCs/>
          <w:sz w:val="28"/>
          <w:szCs w:val="28"/>
        </w:rPr>
      </w:pPr>
      <w:r>
        <w:rPr>
          <w:b/>
          <w:bCs/>
          <w:sz w:val="28"/>
          <w:szCs w:val="28"/>
        </w:rPr>
        <w:t>Про преміювання посадових осіб управління з нагоди Дня Незалежності України</w:t>
      </w:r>
    </w:p>
    <w:p w:rsidR="00655A91" w:rsidRDefault="00655A91" w:rsidP="00655A91">
      <w:pPr>
        <w:rPr>
          <w:b/>
          <w:bCs/>
          <w:sz w:val="28"/>
          <w:szCs w:val="28"/>
        </w:rPr>
      </w:pPr>
    </w:p>
    <w:p w:rsidR="00655A91" w:rsidRDefault="00655A91" w:rsidP="00655A91">
      <w:pPr>
        <w:tabs>
          <w:tab w:val="left" w:pos="0"/>
        </w:tabs>
        <w:ind w:firstLine="601"/>
        <w:jc w:val="both"/>
        <w:rPr>
          <w:sz w:val="28"/>
        </w:rPr>
      </w:pPr>
      <w:r w:rsidRPr="004B631D">
        <w:rPr>
          <w:sz w:val="28"/>
          <w:szCs w:val="28"/>
        </w:rPr>
        <w:t xml:space="preserve">Відповідно </w:t>
      </w:r>
      <w:r>
        <w:rPr>
          <w:sz w:val="28"/>
          <w:szCs w:val="28"/>
        </w:rPr>
        <w:t xml:space="preserve">до Постанови Кабінету Міністрів України від 09.03.2006р. </w:t>
      </w:r>
      <w:r>
        <w:rPr>
          <w:sz w:val="28"/>
          <w:szCs w:val="28"/>
        </w:rPr>
        <w:br/>
        <w:t>№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наказу Міністерства  праці та соціальної політики України від 02.10.1996р.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та доповненнями,</w:t>
      </w:r>
      <w:r>
        <w:rPr>
          <w:sz w:val="28"/>
        </w:rPr>
        <w:t xml:space="preserve"> Колективного договору між адміністрацією та трудовим колективом управління «Інспекція з благоустрою міста Суми» Сумської міської ради на 2018 – 2020 роки, </w:t>
      </w:r>
    </w:p>
    <w:p w:rsidR="00655A91" w:rsidRDefault="00655A91" w:rsidP="00655A91">
      <w:pPr>
        <w:tabs>
          <w:tab w:val="left" w:pos="0"/>
        </w:tabs>
        <w:ind w:firstLine="601"/>
        <w:jc w:val="both"/>
        <w:rPr>
          <w:sz w:val="28"/>
        </w:rPr>
      </w:pPr>
    </w:p>
    <w:p w:rsidR="00655A91" w:rsidRDefault="00655A91" w:rsidP="00655A91">
      <w:pPr>
        <w:tabs>
          <w:tab w:val="left" w:pos="0"/>
        </w:tabs>
        <w:ind w:firstLine="601"/>
        <w:jc w:val="both"/>
        <w:rPr>
          <w:sz w:val="28"/>
        </w:rPr>
      </w:pPr>
      <w:r>
        <w:rPr>
          <w:sz w:val="28"/>
        </w:rPr>
        <w:t>НАКАЗУЮ:</w:t>
      </w:r>
    </w:p>
    <w:p w:rsidR="00655A91" w:rsidRDefault="00655A91" w:rsidP="00655A91">
      <w:pPr>
        <w:tabs>
          <w:tab w:val="left" w:pos="0"/>
        </w:tabs>
        <w:ind w:firstLine="601"/>
        <w:jc w:val="both"/>
        <w:rPr>
          <w:sz w:val="28"/>
        </w:rPr>
      </w:pPr>
    </w:p>
    <w:p w:rsidR="00655A91" w:rsidRDefault="00655A91" w:rsidP="00655A91">
      <w:pPr>
        <w:tabs>
          <w:tab w:val="left" w:pos="0"/>
        </w:tabs>
        <w:ind w:firstLine="601"/>
        <w:jc w:val="both"/>
        <w:rPr>
          <w:sz w:val="28"/>
        </w:rPr>
      </w:pPr>
      <w:r w:rsidRPr="006346A9">
        <w:rPr>
          <w:b/>
          <w:sz w:val="28"/>
        </w:rPr>
        <w:t>1.</w:t>
      </w:r>
      <w:r>
        <w:rPr>
          <w:sz w:val="28"/>
        </w:rPr>
        <w:t xml:space="preserve"> Преміювати посадових осіб управління за сумлінне виконання службових обов’язків та з нагоди відзначення Дня Незалежності України у розмірі посадового окладу, в межах затвердженого фонду преміювання та економії фонду оплати праці: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655A91" w:rsidRPr="00F22F18" w:rsidTr="0089212F">
        <w:trPr>
          <w:trHeight w:val="725"/>
        </w:trPr>
        <w:tc>
          <w:tcPr>
            <w:tcW w:w="3652" w:type="dxa"/>
            <w:vAlign w:val="center"/>
          </w:tcPr>
          <w:p w:rsidR="00655A91" w:rsidRPr="00F22F18" w:rsidRDefault="00655A91" w:rsidP="0089212F">
            <w:pPr>
              <w:jc w:val="center"/>
              <w:rPr>
                <w:sz w:val="28"/>
                <w:szCs w:val="28"/>
              </w:rPr>
            </w:pPr>
            <w:r w:rsidRPr="00F22F18">
              <w:rPr>
                <w:sz w:val="28"/>
                <w:szCs w:val="28"/>
              </w:rPr>
              <w:t>Прізвище, ініціали</w:t>
            </w:r>
          </w:p>
        </w:tc>
        <w:tc>
          <w:tcPr>
            <w:tcW w:w="6237" w:type="dxa"/>
            <w:vAlign w:val="center"/>
          </w:tcPr>
          <w:p w:rsidR="00655A91" w:rsidRPr="00F22F18" w:rsidRDefault="00655A91" w:rsidP="0089212F">
            <w:pPr>
              <w:jc w:val="center"/>
              <w:rPr>
                <w:sz w:val="28"/>
                <w:szCs w:val="28"/>
              </w:rPr>
            </w:pPr>
            <w:r w:rsidRPr="00F22F18">
              <w:rPr>
                <w:sz w:val="28"/>
                <w:szCs w:val="28"/>
              </w:rPr>
              <w:t xml:space="preserve">Посада </w:t>
            </w:r>
          </w:p>
        </w:tc>
      </w:tr>
      <w:tr w:rsidR="00655A91" w:rsidRPr="00F22F18" w:rsidTr="0089212F">
        <w:trPr>
          <w:trHeight w:val="467"/>
        </w:trPr>
        <w:tc>
          <w:tcPr>
            <w:tcW w:w="3652" w:type="dxa"/>
          </w:tcPr>
          <w:p w:rsidR="00655A91" w:rsidRPr="00F22F18" w:rsidRDefault="00655A91" w:rsidP="0089212F">
            <w:pPr>
              <w:jc w:val="both"/>
              <w:rPr>
                <w:sz w:val="28"/>
                <w:szCs w:val="28"/>
              </w:rPr>
            </w:pPr>
            <w:r w:rsidRPr="00F22F18">
              <w:rPr>
                <w:sz w:val="28"/>
                <w:szCs w:val="28"/>
              </w:rPr>
              <w:t>Кириченко Т.Я.</w:t>
            </w:r>
          </w:p>
        </w:tc>
        <w:tc>
          <w:tcPr>
            <w:tcW w:w="6237" w:type="dxa"/>
          </w:tcPr>
          <w:p w:rsidR="00655A91" w:rsidRPr="00F22F18" w:rsidRDefault="00655A91" w:rsidP="0089212F">
            <w:pPr>
              <w:jc w:val="both"/>
              <w:rPr>
                <w:sz w:val="28"/>
                <w:szCs w:val="28"/>
              </w:rPr>
            </w:pPr>
            <w:r>
              <w:rPr>
                <w:sz w:val="28"/>
                <w:szCs w:val="28"/>
              </w:rPr>
              <w:t>Начальник відділу - г</w:t>
            </w:r>
            <w:r w:rsidRPr="00F22F18">
              <w:rPr>
                <w:sz w:val="28"/>
                <w:szCs w:val="28"/>
              </w:rPr>
              <w:t>оловний бухгалтер</w:t>
            </w:r>
          </w:p>
        </w:tc>
      </w:tr>
      <w:tr w:rsidR="00655A91" w:rsidRPr="00F22F18" w:rsidTr="0089212F">
        <w:trPr>
          <w:trHeight w:val="417"/>
        </w:trPr>
        <w:tc>
          <w:tcPr>
            <w:tcW w:w="3652" w:type="dxa"/>
          </w:tcPr>
          <w:p w:rsidR="00655A91" w:rsidRPr="00F22F18" w:rsidRDefault="00655A91" w:rsidP="0089212F">
            <w:pPr>
              <w:jc w:val="both"/>
              <w:rPr>
                <w:sz w:val="28"/>
                <w:szCs w:val="28"/>
              </w:rPr>
            </w:pPr>
            <w:proofErr w:type="spellStart"/>
            <w:r w:rsidRPr="00F22F18">
              <w:rPr>
                <w:sz w:val="28"/>
                <w:szCs w:val="28"/>
              </w:rPr>
              <w:t>Рідченко</w:t>
            </w:r>
            <w:proofErr w:type="spellEnd"/>
            <w:r w:rsidRPr="00F22F18">
              <w:rPr>
                <w:sz w:val="28"/>
                <w:szCs w:val="28"/>
              </w:rPr>
              <w:t xml:space="preserve"> О.В.</w:t>
            </w:r>
          </w:p>
        </w:tc>
        <w:tc>
          <w:tcPr>
            <w:tcW w:w="6237" w:type="dxa"/>
          </w:tcPr>
          <w:p w:rsidR="00655A91" w:rsidRPr="00F22F18" w:rsidRDefault="00655A91" w:rsidP="0089212F">
            <w:pPr>
              <w:jc w:val="both"/>
              <w:rPr>
                <w:sz w:val="28"/>
                <w:szCs w:val="28"/>
              </w:rPr>
            </w:pPr>
            <w:r w:rsidRPr="00F22F18">
              <w:rPr>
                <w:sz w:val="28"/>
                <w:szCs w:val="28"/>
              </w:rPr>
              <w:t>Начальник відділу</w:t>
            </w:r>
          </w:p>
        </w:tc>
      </w:tr>
      <w:tr w:rsidR="00655A91" w:rsidRPr="00F22F18" w:rsidTr="0089212F">
        <w:trPr>
          <w:trHeight w:val="423"/>
        </w:trPr>
        <w:tc>
          <w:tcPr>
            <w:tcW w:w="3652" w:type="dxa"/>
          </w:tcPr>
          <w:p w:rsidR="00655A91" w:rsidRPr="00F22F18" w:rsidRDefault="00655A91" w:rsidP="0089212F">
            <w:pPr>
              <w:jc w:val="both"/>
              <w:rPr>
                <w:sz w:val="28"/>
                <w:szCs w:val="28"/>
              </w:rPr>
            </w:pPr>
            <w:proofErr w:type="spellStart"/>
            <w:r w:rsidRPr="00F22F18">
              <w:rPr>
                <w:sz w:val="28"/>
                <w:szCs w:val="28"/>
              </w:rPr>
              <w:t>Зязін</w:t>
            </w:r>
            <w:proofErr w:type="spellEnd"/>
            <w:r w:rsidRPr="00F22F18">
              <w:rPr>
                <w:sz w:val="28"/>
                <w:szCs w:val="28"/>
              </w:rPr>
              <w:t xml:space="preserve"> А.А.</w:t>
            </w:r>
          </w:p>
        </w:tc>
        <w:tc>
          <w:tcPr>
            <w:tcW w:w="6237" w:type="dxa"/>
          </w:tcPr>
          <w:p w:rsidR="00655A91" w:rsidRPr="00F22F18" w:rsidRDefault="00655A91" w:rsidP="0089212F">
            <w:pPr>
              <w:jc w:val="both"/>
              <w:rPr>
                <w:sz w:val="28"/>
                <w:szCs w:val="28"/>
              </w:rPr>
            </w:pPr>
            <w:r w:rsidRPr="00F22F18">
              <w:rPr>
                <w:sz w:val="28"/>
                <w:szCs w:val="28"/>
              </w:rPr>
              <w:t>Начальник відділу</w:t>
            </w:r>
          </w:p>
        </w:tc>
      </w:tr>
      <w:tr w:rsidR="00655A91" w:rsidRPr="00F22F18" w:rsidTr="0089212F">
        <w:trPr>
          <w:trHeight w:val="423"/>
        </w:trPr>
        <w:tc>
          <w:tcPr>
            <w:tcW w:w="3652" w:type="dxa"/>
          </w:tcPr>
          <w:p w:rsidR="00655A91" w:rsidRPr="00F22F18" w:rsidRDefault="00655A91" w:rsidP="0089212F">
            <w:pPr>
              <w:jc w:val="both"/>
              <w:rPr>
                <w:sz w:val="28"/>
                <w:szCs w:val="28"/>
              </w:rPr>
            </w:pPr>
            <w:proofErr w:type="spellStart"/>
            <w:r>
              <w:rPr>
                <w:sz w:val="28"/>
                <w:szCs w:val="28"/>
              </w:rPr>
              <w:t>Котлярова</w:t>
            </w:r>
            <w:proofErr w:type="spellEnd"/>
            <w:r>
              <w:rPr>
                <w:sz w:val="28"/>
                <w:szCs w:val="28"/>
              </w:rPr>
              <w:t xml:space="preserve"> Т.С.</w:t>
            </w:r>
          </w:p>
        </w:tc>
        <w:tc>
          <w:tcPr>
            <w:tcW w:w="6237" w:type="dxa"/>
          </w:tcPr>
          <w:p w:rsidR="00655A91" w:rsidRPr="00F22F18" w:rsidRDefault="00655A91" w:rsidP="0089212F">
            <w:pPr>
              <w:jc w:val="both"/>
              <w:rPr>
                <w:sz w:val="28"/>
                <w:szCs w:val="28"/>
              </w:rPr>
            </w:pPr>
            <w:r>
              <w:rPr>
                <w:sz w:val="28"/>
                <w:szCs w:val="28"/>
              </w:rPr>
              <w:t>Головний спеціаліст</w:t>
            </w:r>
          </w:p>
        </w:tc>
      </w:tr>
      <w:tr w:rsidR="00655A91" w:rsidRPr="00F22F18" w:rsidTr="0089212F">
        <w:trPr>
          <w:trHeight w:val="437"/>
        </w:trPr>
        <w:tc>
          <w:tcPr>
            <w:tcW w:w="3652" w:type="dxa"/>
          </w:tcPr>
          <w:p w:rsidR="00655A91" w:rsidRPr="00F22F18" w:rsidRDefault="00655A91" w:rsidP="0089212F">
            <w:pPr>
              <w:jc w:val="both"/>
              <w:rPr>
                <w:sz w:val="28"/>
                <w:szCs w:val="28"/>
              </w:rPr>
            </w:pPr>
            <w:r>
              <w:rPr>
                <w:sz w:val="28"/>
                <w:szCs w:val="28"/>
              </w:rPr>
              <w:t>Фесенко Л.Ф.</w:t>
            </w:r>
          </w:p>
        </w:tc>
        <w:tc>
          <w:tcPr>
            <w:tcW w:w="6237" w:type="dxa"/>
          </w:tcPr>
          <w:p w:rsidR="00655A91" w:rsidRPr="00F22F18" w:rsidRDefault="00655A91" w:rsidP="0089212F">
            <w:pPr>
              <w:jc w:val="both"/>
              <w:rPr>
                <w:sz w:val="28"/>
                <w:szCs w:val="28"/>
              </w:rPr>
            </w:pPr>
            <w:r w:rsidRPr="00F22F18">
              <w:rPr>
                <w:sz w:val="28"/>
                <w:szCs w:val="28"/>
              </w:rPr>
              <w:t>Головний спеціаліст</w:t>
            </w:r>
            <w:r>
              <w:rPr>
                <w:sz w:val="28"/>
                <w:szCs w:val="28"/>
              </w:rPr>
              <w:t xml:space="preserve"> - бухгалтер</w:t>
            </w:r>
          </w:p>
        </w:tc>
      </w:tr>
      <w:tr w:rsidR="00655A91" w:rsidRPr="00F22F18" w:rsidTr="0089212F">
        <w:trPr>
          <w:trHeight w:val="469"/>
        </w:trPr>
        <w:tc>
          <w:tcPr>
            <w:tcW w:w="3652" w:type="dxa"/>
          </w:tcPr>
          <w:p w:rsidR="00655A91" w:rsidRDefault="00655A91" w:rsidP="0089212F">
            <w:pPr>
              <w:jc w:val="both"/>
              <w:rPr>
                <w:sz w:val="28"/>
                <w:szCs w:val="28"/>
              </w:rPr>
            </w:pPr>
            <w:proofErr w:type="spellStart"/>
            <w:r>
              <w:rPr>
                <w:sz w:val="28"/>
                <w:szCs w:val="28"/>
              </w:rPr>
              <w:t>Бровкіна</w:t>
            </w:r>
            <w:proofErr w:type="spellEnd"/>
            <w:r>
              <w:rPr>
                <w:sz w:val="28"/>
                <w:szCs w:val="28"/>
              </w:rPr>
              <w:t xml:space="preserve"> О.В.</w:t>
            </w:r>
          </w:p>
        </w:tc>
        <w:tc>
          <w:tcPr>
            <w:tcW w:w="6237" w:type="dxa"/>
          </w:tcPr>
          <w:p w:rsidR="00655A91" w:rsidRPr="00F22F18" w:rsidRDefault="00655A91" w:rsidP="0089212F">
            <w:pPr>
              <w:jc w:val="both"/>
              <w:rPr>
                <w:sz w:val="28"/>
                <w:szCs w:val="28"/>
              </w:rPr>
            </w:pPr>
            <w:r>
              <w:rPr>
                <w:sz w:val="28"/>
                <w:szCs w:val="28"/>
              </w:rPr>
              <w:t>Головний спеціаліст - юрисконсульт</w:t>
            </w:r>
          </w:p>
        </w:tc>
      </w:tr>
      <w:tr w:rsidR="00655A91" w:rsidRPr="00F22F18" w:rsidTr="0089212F">
        <w:trPr>
          <w:trHeight w:val="469"/>
        </w:trPr>
        <w:tc>
          <w:tcPr>
            <w:tcW w:w="3652" w:type="dxa"/>
          </w:tcPr>
          <w:p w:rsidR="00655A91" w:rsidRPr="00F22F18" w:rsidRDefault="00655A91" w:rsidP="0089212F">
            <w:pPr>
              <w:jc w:val="both"/>
              <w:rPr>
                <w:sz w:val="28"/>
                <w:szCs w:val="28"/>
              </w:rPr>
            </w:pPr>
            <w:r>
              <w:rPr>
                <w:sz w:val="28"/>
                <w:szCs w:val="28"/>
              </w:rPr>
              <w:t>Бойко В.П.</w:t>
            </w:r>
          </w:p>
        </w:tc>
        <w:tc>
          <w:tcPr>
            <w:tcW w:w="6237" w:type="dxa"/>
          </w:tcPr>
          <w:p w:rsidR="00655A91" w:rsidRPr="00F22F18" w:rsidRDefault="00655A91" w:rsidP="0089212F">
            <w:pPr>
              <w:jc w:val="both"/>
              <w:rPr>
                <w:sz w:val="28"/>
                <w:szCs w:val="28"/>
              </w:rPr>
            </w:pPr>
            <w:r w:rsidRPr="00F22F18">
              <w:rPr>
                <w:sz w:val="28"/>
                <w:szCs w:val="28"/>
              </w:rPr>
              <w:t>Головний спеціаліст</w:t>
            </w:r>
            <w:r>
              <w:rPr>
                <w:sz w:val="28"/>
                <w:szCs w:val="28"/>
              </w:rPr>
              <w:t xml:space="preserve"> </w:t>
            </w:r>
          </w:p>
        </w:tc>
      </w:tr>
      <w:tr w:rsidR="00655A91" w:rsidRPr="00F22F18" w:rsidTr="0089212F">
        <w:trPr>
          <w:trHeight w:val="437"/>
        </w:trPr>
        <w:tc>
          <w:tcPr>
            <w:tcW w:w="3652" w:type="dxa"/>
          </w:tcPr>
          <w:p w:rsidR="00655A91" w:rsidRDefault="00655A91" w:rsidP="0089212F">
            <w:pPr>
              <w:jc w:val="both"/>
              <w:rPr>
                <w:sz w:val="28"/>
                <w:szCs w:val="28"/>
              </w:rPr>
            </w:pPr>
            <w:proofErr w:type="spellStart"/>
            <w:r>
              <w:rPr>
                <w:sz w:val="28"/>
                <w:szCs w:val="28"/>
              </w:rPr>
              <w:t>Кірієнко</w:t>
            </w:r>
            <w:proofErr w:type="spellEnd"/>
            <w:r>
              <w:rPr>
                <w:sz w:val="28"/>
                <w:szCs w:val="28"/>
              </w:rPr>
              <w:t xml:space="preserve"> М.В.</w:t>
            </w:r>
          </w:p>
        </w:tc>
        <w:tc>
          <w:tcPr>
            <w:tcW w:w="6237" w:type="dxa"/>
          </w:tcPr>
          <w:p w:rsidR="00655A91" w:rsidRPr="00F22F18" w:rsidRDefault="00655A91" w:rsidP="0089212F">
            <w:pPr>
              <w:jc w:val="both"/>
              <w:rPr>
                <w:sz w:val="28"/>
                <w:szCs w:val="28"/>
              </w:rPr>
            </w:pPr>
            <w:r w:rsidRPr="00F22F18">
              <w:rPr>
                <w:sz w:val="28"/>
                <w:szCs w:val="28"/>
              </w:rPr>
              <w:t>Головний спеціаліст</w:t>
            </w:r>
            <w:r>
              <w:rPr>
                <w:sz w:val="28"/>
                <w:szCs w:val="28"/>
              </w:rPr>
              <w:t xml:space="preserve"> </w:t>
            </w:r>
          </w:p>
        </w:tc>
      </w:tr>
      <w:tr w:rsidR="00655A91" w:rsidRPr="00F22F18" w:rsidTr="0089212F">
        <w:trPr>
          <w:trHeight w:val="437"/>
        </w:trPr>
        <w:tc>
          <w:tcPr>
            <w:tcW w:w="3652" w:type="dxa"/>
          </w:tcPr>
          <w:p w:rsidR="00655A91" w:rsidRPr="00F22F18" w:rsidRDefault="00655A91" w:rsidP="0089212F">
            <w:pPr>
              <w:jc w:val="both"/>
              <w:rPr>
                <w:sz w:val="28"/>
                <w:szCs w:val="28"/>
              </w:rPr>
            </w:pPr>
            <w:proofErr w:type="spellStart"/>
            <w:r>
              <w:rPr>
                <w:sz w:val="28"/>
                <w:szCs w:val="28"/>
              </w:rPr>
              <w:t>Алчієва</w:t>
            </w:r>
            <w:proofErr w:type="spellEnd"/>
            <w:r>
              <w:rPr>
                <w:sz w:val="28"/>
                <w:szCs w:val="28"/>
              </w:rPr>
              <w:t xml:space="preserve"> Л.В.</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Pr="00F22F18" w:rsidRDefault="00655A91" w:rsidP="0089212F">
            <w:pPr>
              <w:jc w:val="both"/>
              <w:rPr>
                <w:sz w:val="28"/>
                <w:szCs w:val="28"/>
              </w:rPr>
            </w:pPr>
            <w:r>
              <w:rPr>
                <w:sz w:val="28"/>
                <w:szCs w:val="28"/>
              </w:rPr>
              <w:lastRenderedPageBreak/>
              <w:t>Гордієнко М.С.</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Pr="00F22F18" w:rsidRDefault="00655A91" w:rsidP="0089212F">
            <w:pPr>
              <w:jc w:val="both"/>
              <w:rPr>
                <w:sz w:val="28"/>
                <w:szCs w:val="28"/>
              </w:rPr>
            </w:pPr>
            <w:r>
              <w:rPr>
                <w:sz w:val="28"/>
                <w:szCs w:val="28"/>
              </w:rPr>
              <w:t>Купальний С.С.</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Default="00655A91" w:rsidP="0089212F">
            <w:pPr>
              <w:jc w:val="both"/>
              <w:rPr>
                <w:sz w:val="28"/>
                <w:szCs w:val="28"/>
              </w:rPr>
            </w:pPr>
            <w:proofErr w:type="spellStart"/>
            <w:r>
              <w:rPr>
                <w:sz w:val="28"/>
                <w:szCs w:val="28"/>
              </w:rPr>
              <w:t>Красноусов</w:t>
            </w:r>
            <w:proofErr w:type="spellEnd"/>
            <w:r>
              <w:rPr>
                <w:sz w:val="28"/>
                <w:szCs w:val="28"/>
              </w:rPr>
              <w:t xml:space="preserve"> М.О.</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Default="00655A91" w:rsidP="0089212F">
            <w:pPr>
              <w:jc w:val="both"/>
              <w:rPr>
                <w:sz w:val="28"/>
                <w:szCs w:val="28"/>
              </w:rPr>
            </w:pPr>
            <w:r>
              <w:rPr>
                <w:sz w:val="28"/>
                <w:szCs w:val="28"/>
              </w:rPr>
              <w:t>Курочка І.І.</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Default="00655A91" w:rsidP="0089212F">
            <w:pPr>
              <w:spacing w:after="120"/>
              <w:jc w:val="both"/>
              <w:rPr>
                <w:sz w:val="28"/>
                <w:szCs w:val="28"/>
              </w:rPr>
            </w:pPr>
            <w:r>
              <w:rPr>
                <w:sz w:val="28"/>
                <w:szCs w:val="28"/>
              </w:rPr>
              <w:t>Вареник А.О.</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Default="00655A91" w:rsidP="0089212F">
            <w:pPr>
              <w:spacing w:after="120"/>
              <w:jc w:val="both"/>
              <w:rPr>
                <w:sz w:val="28"/>
                <w:szCs w:val="28"/>
              </w:rPr>
            </w:pPr>
            <w:proofErr w:type="spellStart"/>
            <w:r>
              <w:rPr>
                <w:sz w:val="28"/>
                <w:szCs w:val="28"/>
              </w:rPr>
              <w:t>Ушкало</w:t>
            </w:r>
            <w:proofErr w:type="spellEnd"/>
            <w:r>
              <w:rPr>
                <w:sz w:val="28"/>
                <w:szCs w:val="28"/>
              </w:rPr>
              <w:t xml:space="preserve"> Н.І.</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r w:rsidR="00655A91" w:rsidRPr="00F22F18" w:rsidTr="0089212F">
        <w:trPr>
          <w:trHeight w:val="437"/>
        </w:trPr>
        <w:tc>
          <w:tcPr>
            <w:tcW w:w="3652" w:type="dxa"/>
          </w:tcPr>
          <w:p w:rsidR="00655A91" w:rsidRDefault="00655A91" w:rsidP="0089212F">
            <w:pPr>
              <w:spacing w:after="120"/>
              <w:jc w:val="both"/>
              <w:rPr>
                <w:sz w:val="28"/>
                <w:szCs w:val="28"/>
              </w:rPr>
            </w:pPr>
            <w:proofErr w:type="spellStart"/>
            <w:r>
              <w:rPr>
                <w:sz w:val="28"/>
                <w:szCs w:val="28"/>
              </w:rPr>
              <w:t>Рекун</w:t>
            </w:r>
            <w:proofErr w:type="spellEnd"/>
            <w:r>
              <w:rPr>
                <w:sz w:val="28"/>
                <w:szCs w:val="28"/>
              </w:rPr>
              <w:t xml:space="preserve"> Ю.С.</w:t>
            </w:r>
          </w:p>
        </w:tc>
        <w:tc>
          <w:tcPr>
            <w:tcW w:w="6237" w:type="dxa"/>
          </w:tcPr>
          <w:p w:rsidR="00655A91" w:rsidRPr="00F22F18" w:rsidRDefault="00655A91" w:rsidP="0089212F">
            <w:pPr>
              <w:jc w:val="both"/>
              <w:rPr>
                <w:sz w:val="28"/>
                <w:szCs w:val="28"/>
              </w:rPr>
            </w:pPr>
            <w:r w:rsidRPr="00F22F18">
              <w:rPr>
                <w:sz w:val="28"/>
                <w:szCs w:val="28"/>
              </w:rPr>
              <w:t>Головний спеціаліст</w:t>
            </w:r>
          </w:p>
        </w:tc>
      </w:tr>
    </w:tbl>
    <w:p w:rsidR="00655A91" w:rsidRDefault="00655A91" w:rsidP="00655A91">
      <w:pPr>
        <w:ind w:firstLine="600"/>
        <w:jc w:val="both"/>
        <w:rPr>
          <w:b/>
          <w:sz w:val="28"/>
        </w:rPr>
      </w:pPr>
    </w:p>
    <w:p w:rsidR="00655A91" w:rsidRDefault="00655A91" w:rsidP="00655A91">
      <w:pPr>
        <w:ind w:firstLine="600"/>
        <w:jc w:val="both"/>
        <w:rPr>
          <w:sz w:val="28"/>
        </w:rPr>
      </w:pPr>
      <w:r>
        <w:rPr>
          <w:b/>
          <w:sz w:val="28"/>
        </w:rPr>
        <w:t xml:space="preserve">2.  </w:t>
      </w:r>
      <w:r w:rsidRPr="006869E8">
        <w:rPr>
          <w:sz w:val="28"/>
        </w:rPr>
        <w:t>В.о. начальника</w:t>
      </w:r>
      <w:r>
        <w:rPr>
          <w:sz w:val="28"/>
        </w:rPr>
        <w:t xml:space="preserve"> фінансово – господарського відділу - головного бухгалтера Фесенко Л.Ф. провести відповідні нарахування та виплати.</w:t>
      </w:r>
    </w:p>
    <w:p w:rsidR="00655A91" w:rsidRDefault="00655A91" w:rsidP="00655A91">
      <w:pPr>
        <w:jc w:val="both"/>
        <w:rPr>
          <w:sz w:val="28"/>
        </w:rPr>
      </w:pPr>
    </w:p>
    <w:p w:rsidR="00655A91" w:rsidRDefault="00655A91" w:rsidP="00655A91">
      <w:pPr>
        <w:jc w:val="both"/>
        <w:rPr>
          <w:sz w:val="28"/>
        </w:rPr>
      </w:pPr>
    </w:p>
    <w:p w:rsidR="00655A91" w:rsidRDefault="00655A91" w:rsidP="00655A91">
      <w:pPr>
        <w:jc w:val="both"/>
        <w:rPr>
          <w:sz w:val="28"/>
        </w:rPr>
      </w:pPr>
    </w:p>
    <w:p w:rsidR="00655A91" w:rsidRDefault="00655A91" w:rsidP="00655A91">
      <w:pPr>
        <w:jc w:val="both"/>
        <w:rPr>
          <w:sz w:val="28"/>
        </w:rPr>
      </w:pPr>
    </w:p>
    <w:p w:rsidR="00655A91" w:rsidRDefault="00655A91" w:rsidP="00655A91">
      <w:pPr>
        <w:pStyle w:val="3"/>
        <w:ind w:firstLine="0"/>
      </w:pPr>
      <w:r>
        <w:t xml:space="preserve">Начальник управління                                                           Р.В. </w:t>
      </w:r>
      <w:proofErr w:type="spellStart"/>
      <w:r>
        <w:t>Голопьоров</w:t>
      </w:r>
      <w:proofErr w:type="spellEnd"/>
    </w:p>
    <w:p w:rsidR="00655A91" w:rsidRDefault="00655A91" w:rsidP="00655A91">
      <w:pPr>
        <w:jc w:val="both"/>
        <w:rPr>
          <w:sz w:val="28"/>
        </w:rPr>
      </w:pPr>
    </w:p>
    <w:p w:rsidR="00655A91" w:rsidRDefault="00655A91" w:rsidP="00655A91">
      <w:pPr>
        <w:jc w:val="both"/>
        <w:rPr>
          <w:sz w:val="28"/>
        </w:rPr>
      </w:pPr>
    </w:p>
    <w:p w:rsidR="00655A91" w:rsidRDefault="00655A91" w:rsidP="00655A91">
      <w:pPr>
        <w:jc w:val="both"/>
        <w:rPr>
          <w:sz w:val="28"/>
        </w:rPr>
      </w:pPr>
    </w:p>
    <w:p w:rsidR="00655A91" w:rsidRDefault="00655A91" w:rsidP="00655A91">
      <w:pPr>
        <w:jc w:val="both"/>
        <w:rPr>
          <w:sz w:val="28"/>
        </w:rPr>
      </w:pPr>
    </w:p>
    <w:p w:rsidR="00655A91" w:rsidRDefault="00655A91" w:rsidP="00655A91">
      <w:pPr>
        <w:jc w:val="both"/>
        <w:rPr>
          <w:sz w:val="28"/>
        </w:rPr>
      </w:pPr>
    </w:p>
    <w:p w:rsidR="00FD2CA0" w:rsidRDefault="00FD2CA0"/>
    <w:sectPr w:rsidR="00FD2CA0" w:rsidSect="00655A9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1"/>
    <w:rsid w:val="002757AC"/>
    <w:rsid w:val="00655A91"/>
    <w:rsid w:val="00972710"/>
    <w:rsid w:val="00FD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C25A"/>
  <w15:docId w15:val="{5B778F0F-11DC-4EDD-98FD-87066A4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9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655A91"/>
    <w:pPr>
      <w:keepNext/>
      <w:ind w:firstLine="600"/>
      <w:outlineLvl w:val="2"/>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5A91"/>
    <w:rPr>
      <w:rFonts w:ascii="Times New Roman" w:eastAsia="Arial Unicode MS" w:hAnsi="Times New Roman" w:cs="Times New Roman"/>
      <w:b/>
      <w:bCs/>
      <w:sz w:val="28"/>
      <w:szCs w:val="24"/>
      <w:lang w:val="uk-UA" w:eastAsia="ru-RU"/>
    </w:rPr>
  </w:style>
  <w:style w:type="paragraph" w:styleId="a3">
    <w:name w:val="Balloon Text"/>
    <w:basedOn w:val="a"/>
    <w:link w:val="a4"/>
    <w:uiPriority w:val="99"/>
    <w:semiHidden/>
    <w:unhideWhenUsed/>
    <w:rsid w:val="00655A91"/>
    <w:rPr>
      <w:rFonts w:ascii="Tahoma" w:hAnsi="Tahoma" w:cs="Tahoma"/>
      <w:sz w:val="16"/>
      <w:szCs w:val="16"/>
    </w:rPr>
  </w:style>
  <w:style w:type="character" w:customStyle="1" w:styleId="a4">
    <w:name w:val="Текст выноски Знак"/>
    <w:basedOn w:val="a0"/>
    <w:link w:val="a3"/>
    <w:uiPriority w:val="99"/>
    <w:semiHidden/>
    <w:rsid w:val="00655A9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2018-08-29T05:49:00Z</dcterms:created>
  <dcterms:modified xsi:type="dcterms:W3CDTF">2018-08-29T05:49:00Z</dcterms:modified>
</cp:coreProperties>
</file>